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adjustRightInd w:val="0"/>
        <w:snapToGrid w:val="0"/>
        <w:spacing w:beforeAutospacing="0" w:afterAutospacing="0" w:line="360" w:lineRule="auto"/>
        <w:jc w:val="center"/>
        <w:rPr>
          <w:rFonts w:ascii="方正小标宋_GBK" w:eastAsia="方正小标宋_GBK"/>
          <w:b/>
        </w:rPr>
      </w:pPr>
      <w:r>
        <w:rPr>
          <w:rStyle w:val="13"/>
          <w:rFonts w:hint="eastAsia" w:ascii="方正小标宋_GBK" w:hAnsi="方正小标宋简体" w:eastAsia="方正小标宋_GBK" w:cs="方正小标宋简体"/>
          <w:b w:val="0"/>
          <w:sz w:val="36"/>
          <w:szCs w:val="34"/>
        </w:rPr>
        <w:t>2019-2020学年大气科学学院本科生</w:t>
      </w:r>
    </w:p>
    <w:p>
      <w:pPr>
        <w:pStyle w:val="8"/>
        <w:widowControl/>
        <w:adjustRightInd w:val="0"/>
        <w:snapToGrid w:val="0"/>
        <w:spacing w:beforeAutospacing="0" w:afterAutospacing="0" w:line="360" w:lineRule="auto"/>
        <w:jc w:val="center"/>
        <w:rPr>
          <w:rFonts w:ascii="方正小标宋_GBK" w:eastAsia="方正小标宋_GBK"/>
          <w:b/>
        </w:rPr>
      </w:pPr>
      <w:r>
        <w:rPr>
          <w:rStyle w:val="13"/>
          <w:rFonts w:hint="eastAsia" w:ascii="方正小标宋_GBK" w:hAnsi="方正小标宋简体" w:eastAsia="方正小标宋_GBK" w:cs="方正小标宋简体"/>
          <w:b w:val="0"/>
          <w:sz w:val="36"/>
          <w:szCs w:val="34"/>
        </w:rPr>
        <w:t>综合测评实施办法</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ascii="仿宋" w:hAnsi="仿宋" w:eastAsia="仿宋" w:cs="仿宋"/>
          <w:sz w:val="28"/>
          <w:szCs w:val="28"/>
        </w:rPr>
        <w:t>为鼓励学生刻苦学习专业知识、积极参加社会实践，努力成长为全面发展的优秀人才，根据《普通高等学校学生管理规定》与《中山大学本科生奖学金管理办法》的精神，结合我院实际情况，制订本办法。</w:t>
      </w:r>
    </w:p>
    <w:p>
      <w:pPr>
        <w:pStyle w:val="8"/>
        <w:widowControl/>
        <w:adjustRightInd w:val="0"/>
        <w:snapToGrid w:val="0"/>
        <w:spacing w:beforeAutospacing="0" w:afterAutospacing="0" w:line="360" w:lineRule="auto"/>
        <w:jc w:val="center"/>
        <w:rPr>
          <w:rFonts w:ascii="仿宋" w:hAnsi="仿宋" w:eastAsia="仿宋"/>
          <w:sz w:val="28"/>
          <w:szCs w:val="28"/>
        </w:rPr>
      </w:pPr>
      <w:r>
        <w:rPr>
          <w:rStyle w:val="13"/>
          <w:rFonts w:hint="eastAsia" w:ascii="仿宋" w:hAnsi="仿宋" w:eastAsia="仿宋" w:cs="仿宋"/>
          <w:sz w:val="28"/>
          <w:szCs w:val="28"/>
        </w:rPr>
        <w:t>第一章</w:t>
      </w:r>
      <w:r>
        <w:rPr>
          <w:rStyle w:val="13"/>
          <w:rFonts w:hint="eastAsia" w:ascii="仿宋" w:hAnsi="仿宋" w:eastAsia="仿宋" w:cs="宋体"/>
          <w:sz w:val="28"/>
          <w:szCs w:val="28"/>
        </w:rPr>
        <w:t> </w:t>
      </w:r>
      <w:r>
        <w:rPr>
          <w:rStyle w:val="13"/>
          <w:rFonts w:hint="eastAsia" w:ascii="仿宋" w:hAnsi="仿宋" w:eastAsia="仿宋" w:cs="仿宋"/>
          <w:sz w:val="28"/>
          <w:szCs w:val="28"/>
        </w:rPr>
        <w:t>总则</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第一条</w:t>
      </w:r>
      <w:r>
        <w:rPr>
          <w:rFonts w:hint="eastAsia" w:ascii="仿宋" w:hAnsi="仿宋" w:eastAsia="仿宋" w:cs="宋体"/>
          <w:sz w:val="28"/>
          <w:szCs w:val="28"/>
        </w:rPr>
        <w:t> </w:t>
      </w:r>
      <w:r>
        <w:rPr>
          <w:rFonts w:hint="eastAsia" w:ascii="仿宋" w:hAnsi="仿宋" w:eastAsia="仿宋" w:cs="仿宋"/>
          <w:sz w:val="28"/>
          <w:szCs w:val="28"/>
        </w:rPr>
        <w:t>本办法旨在规范我院本科学生综合测评工作，做到程序规范、内容全面、标准客观、结果公正。</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第二条</w:t>
      </w:r>
      <w:r>
        <w:rPr>
          <w:rStyle w:val="13"/>
          <w:rFonts w:hint="eastAsia" w:ascii="仿宋" w:hAnsi="仿宋" w:eastAsia="仿宋" w:cs="宋体"/>
          <w:sz w:val="28"/>
          <w:szCs w:val="28"/>
        </w:rPr>
        <w:t> </w:t>
      </w:r>
      <w:r>
        <w:rPr>
          <w:rFonts w:hint="eastAsia" w:ascii="仿宋" w:hAnsi="仿宋" w:eastAsia="仿宋" w:cs="仿宋"/>
          <w:sz w:val="28"/>
          <w:szCs w:val="28"/>
        </w:rPr>
        <w:t>对学生进行综合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第三条</w:t>
      </w:r>
      <w:r>
        <w:rPr>
          <w:rFonts w:hint="eastAsia" w:ascii="仿宋" w:hAnsi="仿宋" w:eastAsia="仿宋" w:cs="宋体"/>
          <w:sz w:val="28"/>
          <w:szCs w:val="28"/>
        </w:rPr>
        <w:t> </w:t>
      </w:r>
      <w:r>
        <w:rPr>
          <w:rFonts w:hint="eastAsia" w:ascii="仿宋" w:hAnsi="仿宋" w:eastAsia="仿宋" w:cs="仿宋"/>
          <w:sz w:val="28"/>
          <w:szCs w:val="28"/>
        </w:rPr>
        <w:t>学生每年的综合测评成绩由学业加权平均分、附加分和扣分三部分构成。</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宋体"/>
          <w:sz w:val="28"/>
          <w:szCs w:val="28"/>
        </w:rPr>
        <w:t>  </w:t>
      </w:r>
      <w:r>
        <w:rPr>
          <w:rFonts w:hint="eastAsia" w:ascii="仿宋" w:hAnsi="仿宋" w:eastAsia="仿宋" w:cs="仿宋"/>
          <w:sz w:val="28"/>
          <w:szCs w:val="28"/>
        </w:rPr>
        <w:t>学业加权平均分（包括公共必修课、专业必修课、专业选修课）和综合测评成绩的计算方法如下：</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宋体"/>
          <w:sz w:val="28"/>
          <w:szCs w:val="28"/>
        </w:rPr>
        <w:t xml:space="preserve">  </w:t>
      </w:r>
      <w:r>
        <w:rPr>
          <w:rFonts w:hint="eastAsia" w:ascii="仿宋" w:hAnsi="仿宋" w:eastAsia="仿宋" w:cs="仿宋"/>
          <w:sz w:val="28"/>
          <w:szCs w:val="28"/>
        </w:rPr>
        <w:t>学业加权平均分：该学生本学年所修的各科成绩为A</w:t>
      </w:r>
      <w:r>
        <w:rPr>
          <w:rFonts w:hint="eastAsia" w:ascii="仿宋" w:hAnsi="仿宋" w:eastAsia="仿宋" w:cs="仿宋"/>
          <w:sz w:val="28"/>
          <w:szCs w:val="28"/>
          <w:vertAlign w:val="subscript"/>
        </w:rPr>
        <w:t>1、</w:t>
      </w:r>
      <w:r>
        <w:rPr>
          <w:rFonts w:hint="eastAsia" w:ascii="仿宋" w:hAnsi="仿宋" w:eastAsia="仿宋" w:cs="仿宋"/>
          <w:sz w:val="28"/>
          <w:szCs w:val="28"/>
        </w:rPr>
        <w:t>A</w:t>
      </w:r>
      <w:r>
        <w:rPr>
          <w:rFonts w:hint="eastAsia" w:ascii="仿宋" w:hAnsi="仿宋" w:eastAsia="仿宋" w:cs="仿宋"/>
          <w:sz w:val="28"/>
          <w:szCs w:val="28"/>
          <w:vertAlign w:val="subscript"/>
        </w:rPr>
        <w:t>2、</w:t>
      </w:r>
      <w:r>
        <w:rPr>
          <w:rFonts w:hint="eastAsia" w:ascii="仿宋" w:hAnsi="仿宋" w:eastAsia="仿宋" w:cs="仿宋"/>
          <w:sz w:val="28"/>
          <w:szCs w:val="28"/>
        </w:rPr>
        <w:t>A</w:t>
      </w:r>
      <w:r>
        <w:rPr>
          <w:rFonts w:hint="eastAsia" w:ascii="仿宋" w:hAnsi="仿宋" w:eastAsia="仿宋" w:cs="仿宋"/>
          <w:sz w:val="28"/>
          <w:szCs w:val="28"/>
          <w:vertAlign w:val="subscript"/>
        </w:rPr>
        <w:t>3、</w:t>
      </w:r>
      <w:r>
        <w:rPr>
          <w:rFonts w:hint="eastAsia" w:ascii="仿宋" w:hAnsi="仿宋" w:eastAsia="仿宋" w:cs="仿宋"/>
          <w:sz w:val="28"/>
          <w:szCs w:val="28"/>
        </w:rPr>
        <w:t>……A</w:t>
      </w:r>
      <w:r>
        <w:rPr>
          <w:rFonts w:hint="eastAsia" w:ascii="仿宋" w:hAnsi="仿宋" w:eastAsia="仿宋" w:cs="仿宋"/>
          <w:sz w:val="28"/>
          <w:szCs w:val="28"/>
          <w:vertAlign w:val="subscript"/>
        </w:rPr>
        <w:t>n</w:t>
      </w:r>
      <w:r>
        <w:rPr>
          <w:rFonts w:hint="eastAsia" w:ascii="仿宋" w:hAnsi="仿宋" w:eastAsia="仿宋" w:cs="仿宋"/>
          <w:sz w:val="28"/>
          <w:szCs w:val="28"/>
        </w:rPr>
        <w:t>，各科相应的学分分别为B</w:t>
      </w:r>
      <w:r>
        <w:rPr>
          <w:rFonts w:hint="eastAsia" w:ascii="仿宋" w:hAnsi="仿宋" w:eastAsia="仿宋" w:cs="仿宋"/>
          <w:sz w:val="28"/>
          <w:szCs w:val="28"/>
          <w:vertAlign w:val="subscript"/>
        </w:rPr>
        <w:t>1、</w:t>
      </w:r>
      <w:r>
        <w:rPr>
          <w:rFonts w:hint="eastAsia" w:ascii="仿宋" w:hAnsi="仿宋" w:eastAsia="仿宋" w:cs="仿宋"/>
          <w:sz w:val="28"/>
          <w:szCs w:val="28"/>
        </w:rPr>
        <w:t>B</w:t>
      </w:r>
      <w:r>
        <w:rPr>
          <w:rFonts w:hint="eastAsia" w:ascii="仿宋" w:hAnsi="仿宋" w:eastAsia="仿宋" w:cs="仿宋"/>
          <w:sz w:val="28"/>
          <w:szCs w:val="28"/>
          <w:vertAlign w:val="subscript"/>
        </w:rPr>
        <w:t>2、</w:t>
      </w:r>
      <w:r>
        <w:rPr>
          <w:rFonts w:hint="eastAsia" w:ascii="仿宋" w:hAnsi="仿宋" w:eastAsia="仿宋" w:cs="仿宋"/>
          <w:sz w:val="28"/>
          <w:szCs w:val="28"/>
        </w:rPr>
        <w:t>B</w:t>
      </w:r>
      <w:r>
        <w:rPr>
          <w:rFonts w:hint="eastAsia" w:ascii="仿宋" w:hAnsi="仿宋" w:eastAsia="仿宋" w:cs="仿宋"/>
          <w:sz w:val="28"/>
          <w:szCs w:val="28"/>
          <w:vertAlign w:val="subscript"/>
        </w:rPr>
        <w:t>3、</w:t>
      </w:r>
      <w:r>
        <w:rPr>
          <w:rFonts w:hint="eastAsia" w:ascii="仿宋" w:hAnsi="仿宋" w:eastAsia="仿宋" w:cs="仿宋"/>
          <w:sz w:val="28"/>
          <w:szCs w:val="28"/>
        </w:rPr>
        <w:t>……B</w:t>
      </w:r>
      <w:r>
        <w:rPr>
          <w:rFonts w:hint="eastAsia" w:ascii="仿宋" w:hAnsi="仿宋" w:eastAsia="仿宋" w:cs="仿宋"/>
          <w:sz w:val="28"/>
          <w:szCs w:val="28"/>
          <w:vertAlign w:val="subscript"/>
        </w:rPr>
        <w:t>n</w:t>
      </w:r>
      <w:r>
        <w:rPr>
          <w:rFonts w:hint="eastAsia" w:ascii="仿宋" w:hAnsi="仿宋" w:eastAsia="仿宋" w:cs="仿宋"/>
          <w:sz w:val="28"/>
          <w:szCs w:val="28"/>
        </w:rPr>
        <w:t>，那么，学业加权平均分=∑(A</w:t>
      </w:r>
      <w:r>
        <w:rPr>
          <w:rFonts w:hint="eastAsia" w:ascii="仿宋" w:hAnsi="仿宋" w:eastAsia="仿宋" w:cs="仿宋"/>
          <w:sz w:val="28"/>
          <w:szCs w:val="28"/>
          <w:vertAlign w:val="subscript"/>
        </w:rPr>
        <w:t>i</w:t>
      </w:r>
      <w:r>
        <w:rPr>
          <w:rFonts w:hint="eastAsia" w:ascii="仿宋" w:hAnsi="仿宋" w:eastAsia="仿宋" w:cs="仿宋"/>
          <w:sz w:val="28"/>
          <w:szCs w:val="28"/>
        </w:rPr>
        <w:t>B</w:t>
      </w:r>
      <w:r>
        <w:rPr>
          <w:rFonts w:hint="eastAsia" w:ascii="仿宋" w:hAnsi="仿宋" w:eastAsia="仿宋" w:cs="仿宋"/>
          <w:sz w:val="28"/>
          <w:szCs w:val="28"/>
          <w:vertAlign w:val="subscript"/>
        </w:rPr>
        <w:t>i</w:t>
      </w:r>
      <w:r>
        <w:rPr>
          <w:rFonts w:hint="eastAsia" w:ascii="仿宋" w:hAnsi="仿宋" w:eastAsia="仿宋" w:cs="仿宋"/>
          <w:sz w:val="28"/>
          <w:szCs w:val="28"/>
        </w:rPr>
        <w:t>)/∑B</w:t>
      </w:r>
      <w:r>
        <w:rPr>
          <w:rFonts w:hint="eastAsia" w:ascii="仿宋" w:hAnsi="仿宋" w:eastAsia="仿宋" w:cs="仿宋"/>
          <w:sz w:val="28"/>
          <w:szCs w:val="28"/>
          <w:vertAlign w:val="subscript"/>
        </w:rPr>
        <w:t>i,</w:t>
      </w:r>
      <w:r>
        <w:rPr>
          <w:rFonts w:hint="eastAsia" w:ascii="仿宋" w:hAnsi="仿宋" w:eastAsia="仿宋" w:cs="仿宋"/>
          <w:sz w:val="28"/>
          <w:szCs w:val="28"/>
        </w:rPr>
        <w:t>(i=1,2,3, ……,n)。</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综合测评成绩＝学业加权平均分＋附加分－扣分。</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按照学校的相关规定，要将综合测评的成绩和附加分转换成绩点，具体方法如下：</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综合绩点=(学业加权平均成绩-50)/10+附加分/10-扣分/10</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附加分绩点=附加分/10</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裸绩点=(学业加权平均成绩-50)/10</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项目加分上限为7.5分，累加后超过7.5分的按7.5分计。同时，构成综合测评成绩的附加分不得超过本人裸绩点的15%，超过15%的以15%计（举例：某学生裸绩点为5.0，则该生附加分绩点的上限是5.0*15%=0.75，即附加分不得超过7.5分；某学生裸绩点为3.0，则该生附加分绩点的上限为3.0*15%=0.45，即附加分不得超过4.5分。）</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 对于派出交换生的成绩认定，按照《中山大学本科交流生学籍管理办法》第八条，结合学院教务执行。</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第四条  </w:t>
      </w:r>
      <w:r>
        <w:rPr>
          <w:rFonts w:hint="eastAsia" w:ascii="仿宋" w:hAnsi="仿宋" w:eastAsia="仿宋" w:cs="仿宋"/>
          <w:sz w:val="28"/>
          <w:szCs w:val="28"/>
        </w:rPr>
        <w:t>综合测评评选程序为如下：</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1、个人申请</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参评者在规定时间内向班级评定小组提出书面申请，并提供相应证明材料，未能及时提供证明材料的不进行加分，逾期不受理。加分申请材料原则上自本学年第一个自然年</w:t>
      </w:r>
      <w:r>
        <w:rPr>
          <w:rFonts w:ascii="仿宋" w:hAnsi="仿宋" w:eastAsia="仿宋" w:cs="仿宋"/>
          <w:sz w:val="28"/>
          <w:szCs w:val="28"/>
        </w:rPr>
        <w:t xml:space="preserve"> </w:t>
      </w:r>
      <w:r>
        <w:rPr>
          <w:rFonts w:hint="eastAsia" w:ascii="仿宋" w:hAnsi="仿宋" w:eastAsia="仿宋" w:cs="仿宋"/>
          <w:sz w:val="28"/>
          <w:szCs w:val="28"/>
        </w:rPr>
        <w:t>7</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30</w:t>
      </w:r>
      <w:r>
        <w:rPr>
          <w:rFonts w:hint="eastAsia" w:ascii="仿宋" w:hAnsi="仿宋" w:eastAsia="仿宋" w:cs="仿宋"/>
          <w:sz w:val="28"/>
          <w:szCs w:val="28"/>
        </w:rPr>
        <w:t>日至本学年第二个自然年</w:t>
      </w:r>
      <w:r>
        <w:rPr>
          <w:rFonts w:ascii="仿宋" w:hAnsi="仿宋" w:eastAsia="仿宋" w:cs="仿宋"/>
          <w:sz w:val="28"/>
          <w:szCs w:val="28"/>
        </w:rPr>
        <w:t xml:space="preserve"> </w:t>
      </w:r>
      <w:r>
        <w:rPr>
          <w:rFonts w:hint="eastAsia" w:ascii="仿宋" w:hAnsi="仿宋" w:eastAsia="仿宋" w:cs="仿宋"/>
          <w:sz w:val="28"/>
          <w:szCs w:val="28"/>
        </w:rPr>
        <w:t>7</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30 </w:t>
      </w:r>
      <w:r>
        <w:rPr>
          <w:rFonts w:hint="eastAsia" w:ascii="仿宋" w:hAnsi="仿宋" w:eastAsia="仿宋" w:cs="仿宋"/>
          <w:sz w:val="28"/>
          <w:szCs w:val="28"/>
        </w:rPr>
        <w:t>日期间有效。加分申请方法如下：各位同学将符合规定的申请项目的加分凭证上交相应综合测评工作小组。加分凭证包括：相应证书原件及其复印件，若无证书，需上交相关部门或合法团体的书面证明，以及加分细则说明中要求上交的材料。上交的材料必须是上一学年有关项目，其中包括上一次综合测评时没有加分，但按照规定推后到该次综合测评时进行加分的项目。如有特殊原因在综合测评加分申请截止日期后才知道获奖结果且之后拿到获奖证书者，相应的加分将放到下一学年，但获奖者必须及时将证书复印件上交年级综合测评审核小组登记，否则下一学年将不予承认。班级评定小组组成参照第七条。</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2、班级评定小组审核</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班级评定小组根据本学年的综合测评实施办法对每位参评者的加分、减分项目进行审核，按分值高低进行排序，并公示每位参评者评分具体项目、分值，不少于三个工作日。公示无异议后，上报学院本科生年级综合测评审核小组。学院本科生年级综合测评审核小组成员组成参照第七条。</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3、年级综合测评审核小组审核</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年级综合测评审核小组审核根据学业加权平均成绩和公示无异议后的附加分、扣分等将各专业学生的综合测评成绩进行排序，同时根据每年奖学金的分配名额确定获奖者初评名单，并将获奖名单在年级内公示不少于三个工作日后，上报学院学生资助评审工作小组。学院学生资助评审工作小组成员组成参照第七条。</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4、学院学生资助评审工作小组审议</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学院学生资助评审工作小组审核完后，汇总、公示初评名单，公示无异议后，将评定结果提交到报学校审批。</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第五条</w:t>
      </w:r>
      <w:r>
        <w:rPr>
          <w:rStyle w:val="13"/>
          <w:rFonts w:hint="eastAsia" w:ascii="仿宋" w:hAnsi="仿宋" w:eastAsia="仿宋" w:cs="宋体"/>
          <w:sz w:val="28"/>
          <w:szCs w:val="28"/>
        </w:rPr>
        <w:t> </w:t>
      </w:r>
      <w:r>
        <w:rPr>
          <w:rFonts w:ascii="仿宋" w:hAnsi="仿宋" w:eastAsia="仿宋"/>
          <w:sz w:val="28"/>
          <w:szCs w:val="28"/>
        </w:rPr>
        <w:t xml:space="preserve"> </w:t>
      </w:r>
      <w:r>
        <w:rPr>
          <w:rFonts w:hint="eastAsia" w:ascii="仿宋" w:hAnsi="仿宋" w:eastAsia="仿宋" w:cs="仿宋"/>
          <w:sz w:val="28"/>
          <w:szCs w:val="28"/>
        </w:rPr>
        <w:t>优秀奖学金的参评是以专业为单位按综合测评成绩高低排序，在此基础上进行优秀学生奖学金的评选，奖学金等级原则上按综合测评名次评定。</w:t>
      </w:r>
      <w:r>
        <w:rPr>
          <w:rStyle w:val="13"/>
          <w:rFonts w:hint="eastAsia" w:ascii="仿宋" w:hAnsi="仿宋" w:eastAsia="仿宋" w:cs="仿宋"/>
          <w:sz w:val="28"/>
          <w:szCs w:val="28"/>
        </w:rPr>
        <w:t>优秀奖学金具体分配名额方法：</w:t>
      </w:r>
    </w:p>
    <w:p>
      <w:pPr>
        <w:adjustRightInd w:val="0"/>
        <w:snapToGrid w:val="0"/>
        <w:spacing w:line="360" w:lineRule="auto"/>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综合测评总成绩在专业排名前8%，具备优秀学生一等奖学金评选资格；综合测评总成绩在专业排名前20%，具备优秀学生二等奖学金评选资格；综合测评总成绩在专业排名前50%，具备优秀学生三等奖学金评选资格；专项奖学金包括学术科研奖、学科竞赛奖、学业进步奖、文体实践奖、道德风尚奖和笃行干部奖，评选按照《大气科学学院</w:t>
      </w:r>
      <w:r>
        <w:rPr>
          <w:rFonts w:ascii="仿宋" w:hAnsi="仿宋" w:eastAsia="仿宋" w:cs="仿宋"/>
          <w:sz w:val="28"/>
          <w:szCs w:val="28"/>
          <w:shd w:val="clear" w:color="auto" w:fill="FFFFFF"/>
        </w:rPr>
        <w:t>201</w:t>
      </w:r>
      <w:r>
        <w:rPr>
          <w:rFonts w:hint="eastAsia" w:ascii="仿宋" w:hAnsi="仿宋" w:eastAsia="仿宋" w:cs="仿宋"/>
          <w:sz w:val="28"/>
          <w:szCs w:val="28"/>
          <w:shd w:val="clear" w:color="auto" w:fill="FFFFFF"/>
        </w:rPr>
        <w:t>9</w:t>
      </w:r>
      <w:r>
        <w:rPr>
          <w:rFonts w:ascii="仿宋" w:hAnsi="仿宋" w:eastAsia="仿宋" w:cs="仿宋"/>
          <w:sz w:val="28"/>
          <w:szCs w:val="28"/>
          <w:shd w:val="clear" w:color="auto" w:fill="FFFFFF"/>
        </w:rPr>
        <w:t>-20</w:t>
      </w:r>
      <w:r>
        <w:rPr>
          <w:rFonts w:hint="eastAsia" w:ascii="仿宋" w:hAnsi="仿宋" w:eastAsia="仿宋" w:cs="仿宋"/>
          <w:sz w:val="28"/>
          <w:szCs w:val="28"/>
          <w:shd w:val="clear" w:color="auto" w:fill="FFFFFF"/>
        </w:rPr>
        <w:t>20学年专项奖学金评选办法》执行。</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w:t>
      </w:r>
      <w:r>
        <w:rPr>
          <w:rFonts w:hint="eastAsia" w:ascii="仿宋" w:hAnsi="仿宋" w:eastAsia="仿宋" w:cs="仿宋"/>
          <w:sz w:val="28"/>
          <w:szCs w:val="28"/>
          <w:shd w:val="clear" w:color="auto" w:fill="FFFFFF"/>
        </w:rPr>
        <w:t>获优秀学生奖学金的人数不超过本院（系）参评总人数的30%，其中获一等奖学金的人数不得超过本专业参评总人数的5%，获二等奖学金的人数不超过本专业参评总人数的10%，获三等奖学金的人数不超过本专业参评总数的15%。获专项奖学金的人数不超过</w:t>
      </w:r>
      <w:r>
        <w:rPr>
          <w:rFonts w:ascii="仿宋" w:hAnsi="仿宋" w:eastAsia="仿宋" w:cs="仿宋"/>
          <w:sz w:val="28"/>
          <w:szCs w:val="28"/>
          <w:shd w:val="clear" w:color="auto" w:fill="FFFFFF"/>
        </w:rPr>
        <w:t>10</w:t>
      </w:r>
      <w:r>
        <w:rPr>
          <w:rFonts w:hint="eastAsia" w:ascii="仿宋" w:hAnsi="仿宋" w:eastAsia="仿宋" w:cs="仿宋"/>
          <w:sz w:val="28"/>
          <w:szCs w:val="28"/>
          <w:shd w:val="clear" w:color="auto" w:fill="FFFFFF"/>
        </w:rPr>
        <w:t>人，其中获得学术科研奖、学科竞赛奖、学业进步奖、文体实践奖、道德风尚奖、笃行干部奖评定人数分别不超过2、2、3、3、2、2人。学院（系）最多可推荐10名候选人参评，其中学术创新奖推荐人数不超过2人，学科竞赛奖、学业进步奖、文体实践奖、道德风尚奖、笃行干部奖评定人数分别不超过2、3、3、2、2人。获得优秀学生奖学金和中山大学励志奖学金的学生，如同时获评专项奖学金，可兼得荣誉，奖励金按单项最高金额发放。</w:t>
      </w:r>
      <w:r>
        <w:rPr>
          <w:rFonts w:hint="eastAsia" w:ascii="仿宋" w:hAnsi="仿宋" w:eastAsia="仿宋" w:cs="仿宋"/>
          <w:sz w:val="28"/>
          <w:szCs w:val="28"/>
        </w:rPr>
        <w:t>每年具体分配名额以当年各班人数作参考，具体名额将以当年学院网的通知为准。</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w:t>
      </w:r>
      <w:r>
        <w:rPr>
          <w:rFonts w:hint="eastAsia" w:ascii="仿宋" w:hAnsi="仿宋" w:eastAsia="仿宋" w:cs="仿宋"/>
          <w:sz w:val="28"/>
          <w:szCs w:val="28"/>
          <w:shd w:val="clear" w:color="auto" w:fill="FFFFFF"/>
        </w:rPr>
        <w:t>学籍在我校的交换生因接受交换学校的原因未能在9月奖学金评选前完成全部学分转换的，且满足下列条件的，可参评针对交换生的优秀学生奖学金：</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 xml:space="preserve">（一）  </w:t>
      </w:r>
      <w:r>
        <w:rPr>
          <w:rFonts w:hint="eastAsia" w:ascii="仿宋" w:hAnsi="仿宋" w:eastAsia="仿宋" w:cs="仿宋"/>
          <w:sz w:val="28"/>
          <w:szCs w:val="28"/>
          <w:shd w:val="clear" w:color="auto" w:fill="FFFFFF"/>
        </w:rPr>
        <w:t>申请参评时，已完成全部交换学习学分的转换；</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 xml:space="preserve">（二）  </w:t>
      </w:r>
      <w:r>
        <w:rPr>
          <w:rFonts w:hint="eastAsia" w:ascii="仿宋" w:hAnsi="仿宋" w:eastAsia="仿宋" w:cs="仿宋"/>
          <w:sz w:val="28"/>
          <w:szCs w:val="28"/>
          <w:shd w:val="clear" w:color="auto" w:fill="FFFFFF"/>
        </w:rPr>
        <w:t>遵守交换学校的各项规章制度。</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shd w:val="clear" w:color="auto" w:fill="FFFFFF"/>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pPr>
        <w:pStyle w:val="8"/>
        <w:widowControl/>
        <w:adjustRightInd w:val="0"/>
        <w:snapToGrid w:val="0"/>
        <w:spacing w:beforeAutospacing="0" w:afterAutospacing="0" w:line="360" w:lineRule="auto"/>
        <w:ind w:firstLine="562" w:firstLineChars="200"/>
        <w:rPr>
          <w:rFonts w:ascii="仿宋" w:hAnsi="仿宋" w:eastAsia="仿宋" w:cs="仿宋"/>
          <w:sz w:val="28"/>
          <w:szCs w:val="28"/>
        </w:rPr>
      </w:pPr>
      <w:r>
        <w:rPr>
          <w:rStyle w:val="13"/>
          <w:rFonts w:hint="eastAsia" w:ascii="仿宋" w:hAnsi="仿宋" w:eastAsia="仿宋" w:cs="仿宋"/>
          <w:sz w:val="28"/>
          <w:szCs w:val="28"/>
        </w:rPr>
        <w:t>第六条</w:t>
      </w:r>
      <w:r>
        <w:rPr>
          <w:rFonts w:hint="eastAsia" w:ascii="仿宋" w:hAnsi="仿宋" w:eastAsia="仿宋" w:cs="仿宋"/>
          <w:sz w:val="28"/>
          <w:szCs w:val="28"/>
        </w:rPr>
        <w:t>  申请奖学金的学生必须具备以下条件：</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 具有坚定正确的政治方向，热爱祖国，拥护中国共产党的领导；</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 遵纪守法，评选年度未收到任何纪律处分；评奖年度受处分且下一年度解除处分的，只影响本年度评奖，不影响下一年度评奖；</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 学习成绩优良，教务系统上的所有科目（包括公必、公选、专必和专选课程）在参评年度内无第一次考试不及格科目；</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4、 诚实守信，没有无故欠缴学费、住宿费和水电费；</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5、 关心集体、团结同学、热心助人，积极参加学校、班级、宿舍等集体活动，</w:t>
      </w:r>
      <w:r>
        <w:rPr>
          <w:rFonts w:ascii="仿宋" w:hAnsi="仿宋" w:eastAsia="仿宋" w:cs="仿宋"/>
          <w:sz w:val="28"/>
          <w:szCs w:val="28"/>
        </w:rPr>
        <w:t>不随意迟到、早退、缺席</w:t>
      </w:r>
      <w:r>
        <w:rPr>
          <w:rFonts w:hint="eastAsia" w:ascii="仿宋" w:hAnsi="仿宋" w:eastAsia="仿宋" w:cs="仿宋"/>
          <w:sz w:val="28"/>
          <w:szCs w:val="28"/>
        </w:rPr>
        <w:t>；</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6、 积极参加公益活动，在评选期内必须有</w:t>
      </w:r>
      <w:r>
        <w:rPr>
          <w:rFonts w:hint="eastAsia" w:ascii="仿宋" w:hAnsi="仿宋" w:eastAsia="仿宋" w:cs="仿宋"/>
          <w:sz w:val="28"/>
          <w:szCs w:val="28"/>
          <w:lang w:val="en-US" w:eastAsia="zh-CN"/>
        </w:rPr>
        <w:t>10</w:t>
      </w:r>
      <w:r>
        <w:rPr>
          <w:rFonts w:hint="eastAsia" w:ascii="仿宋" w:hAnsi="仿宋" w:eastAsia="仿宋" w:cs="仿宋"/>
          <w:sz w:val="28"/>
          <w:szCs w:val="28"/>
        </w:rPr>
        <w:t>个</w:t>
      </w:r>
      <w:r>
        <w:rPr>
          <w:rFonts w:hint="eastAsia" w:ascii="仿宋" w:hAnsi="仿宋" w:eastAsia="仿宋" w:cs="仿宋"/>
          <w:sz w:val="28"/>
          <w:szCs w:val="28"/>
          <w:lang w:val="en-US" w:eastAsia="zh-CN"/>
        </w:rPr>
        <w:t>或</w:t>
      </w:r>
      <w:bookmarkStart w:id="2" w:name="_GoBack"/>
      <w:bookmarkEnd w:id="2"/>
      <w:r>
        <w:rPr>
          <w:rFonts w:hint="eastAsia" w:ascii="仿宋" w:hAnsi="仿宋" w:eastAsia="仿宋" w:cs="仿宋"/>
          <w:sz w:val="28"/>
          <w:szCs w:val="28"/>
        </w:rPr>
        <w:t>以上的公益时记录和证明；学生参与公益活动的经历由组织公益活动的单位或公益活动所服务的对象进行认证，院（系）学生工作部门签署意见。具体执行方式如下：学生需要让组织公益活动的单位或者公益活动的对象给出服务时间证明，并拿到学工办进行签署认定。</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7、 积极参加体育锻炼，努力实施《国家体育锻炼标准》，学生体质健康测试合格；若已申请体测缓测或免测的需提交相关证明（无故不参加体测者以及体测不达标者不得参评）。</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8、一年级新生必须按入学要求参加军训，无法参加军训者需提交相关证明，未经批准不参加军训者不得参评。</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9、若有缓考科目，在指定的评选时间内未公布成绩的同学，须由缓考学生本人提出申请，经班级评定小组、年级综合测评审核小组和学院学生资助评审小组审议，通过后，公示参评资格，经公示无异议后，该缓考科目不参与学业加权平均成绩的计算，但列入下学年度奖学金评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交换生交换期间修的课程以及交换期间缓考出成绩的课程无法完全和学院规定必修和指定课程对应，则不能参评。</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除上述条件外，申请各类奖学金还需符合该项奖学金的特定条件，详情请参照《中山大学本科生奖学金管理办法》第三章。</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第七条</w:t>
      </w:r>
      <w:r>
        <w:rPr>
          <w:rFonts w:ascii="仿宋" w:hAnsi="仿宋" w:eastAsia="仿宋"/>
          <w:sz w:val="28"/>
          <w:szCs w:val="28"/>
        </w:rPr>
        <w:t xml:space="preserve">  </w:t>
      </w:r>
      <w:r>
        <w:rPr>
          <w:rFonts w:hint="eastAsia" w:ascii="仿宋" w:hAnsi="仿宋" w:eastAsia="仿宋" w:cs="仿宋"/>
          <w:sz w:val="28"/>
          <w:szCs w:val="28"/>
        </w:rPr>
        <w:t>成立学院本科生综合测评审核小组，包括：</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1、班级评定小组</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由各班班长、团支书、学习委员及两名学生代表组成；</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2、年级综合测评审核小组</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由各年级辅导员、</w:t>
      </w:r>
      <w:r>
        <w:rPr>
          <w:rFonts w:ascii="仿宋" w:hAnsi="仿宋" w:eastAsia="仿宋" w:cs="仿宋"/>
          <w:sz w:val="28"/>
          <w:szCs w:val="28"/>
        </w:rPr>
        <w:t>各班级学生代表、</w:t>
      </w:r>
      <w:r>
        <w:rPr>
          <w:rFonts w:hint="eastAsia" w:ascii="仿宋" w:hAnsi="仿宋" w:eastAsia="仿宋" w:cs="仿宋"/>
          <w:sz w:val="28"/>
          <w:szCs w:val="28"/>
        </w:rPr>
        <w:t>奖学金评选小组的学生助理组成；</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3、学院学生资助评审工作小组</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由分管本科教学副院长、党组织副书记、班主任代表、各年级</w:t>
      </w:r>
      <w:r>
        <w:rPr>
          <w:rFonts w:ascii="仿宋" w:hAnsi="仿宋" w:eastAsia="仿宋" w:cs="仿宋"/>
          <w:sz w:val="28"/>
          <w:szCs w:val="28"/>
        </w:rPr>
        <w:t>辅导员</w:t>
      </w:r>
      <w:r>
        <w:rPr>
          <w:rFonts w:hint="eastAsia" w:ascii="仿宋" w:hAnsi="仿宋" w:eastAsia="仿宋" w:cs="仿宋"/>
          <w:sz w:val="28"/>
          <w:szCs w:val="28"/>
        </w:rPr>
        <w:t>以及各年级学生代表组成。</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在评审过程中，加分、扣分评定要严格遵守以下要求:</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1、加分、扣分评定过程必须公开，初评结果向全班同学公布，对初评结果有异议的同学可在三天之内向审核小组反映并要求复议。复议过程参照第十条执行。</w:t>
      </w:r>
    </w:p>
    <w:p>
      <w:pPr>
        <w:pStyle w:val="8"/>
        <w:widowControl/>
        <w:shd w:val="clear" w:color="auto" w:fill="FFFFFF"/>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shd w:val="clear" w:color="auto" w:fill="FFFFFF"/>
        </w:rPr>
        <w:t>2、学生加分必须提供有效证明，对逾期不提供相应证明的，不得予以加分；扣分也应有相应依据。</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3、评定小组成员涉及自身评分问题时必须回避，由小组其他成员对该成员予以评定。</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第八条</w:t>
      </w:r>
      <w:r>
        <w:rPr>
          <w:rFonts w:hint="eastAsia" w:ascii="仿宋" w:hAnsi="仿宋" w:eastAsia="仿宋" w:cs="宋体"/>
          <w:sz w:val="28"/>
          <w:szCs w:val="28"/>
        </w:rPr>
        <w:t> </w:t>
      </w:r>
      <w:r>
        <w:rPr>
          <w:rFonts w:hint="eastAsia" w:ascii="仿宋" w:hAnsi="仿宋" w:eastAsia="仿宋" w:cs="仿宋"/>
          <w:sz w:val="28"/>
          <w:szCs w:val="28"/>
        </w:rPr>
        <w:t>在综合测评中弄虚作假者，取消本学年度评选奖学金资格并按考试作弊进行相应处理。</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第九条</w:t>
      </w:r>
      <w:r>
        <w:rPr>
          <w:rStyle w:val="13"/>
          <w:rFonts w:hint="eastAsia" w:ascii="仿宋" w:hAnsi="仿宋" w:eastAsia="仿宋" w:cs="宋体"/>
          <w:sz w:val="28"/>
          <w:szCs w:val="28"/>
        </w:rPr>
        <w:t> </w:t>
      </w:r>
      <w:r>
        <w:rPr>
          <w:rFonts w:ascii="仿宋" w:hAnsi="仿宋" w:eastAsia="仿宋"/>
          <w:sz w:val="28"/>
          <w:szCs w:val="28"/>
        </w:rPr>
        <w:t xml:space="preserve"> </w:t>
      </w:r>
      <w:r>
        <w:rPr>
          <w:rFonts w:hint="eastAsia" w:ascii="仿宋" w:hAnsi="仿宋" w:eastAsia="仿宋" w:cs="仿宋"/>
          <w:sz w:val="28"/>
          <w:szCs w:val="28"/>
        </w:rPr>
        <w:t>评定小组在评定过程中必须实行签名制，各负责人均要在其所负责的项目后“评定人”一栏中签名。</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第十条</w:t>
      </w:r>
      <w:r>
        <w:rPr>
          <w:rFonts w:ascii="仿宋" w:hAnsi="仿宋" w:eastAsia="仿宋"/>
          <w:sz w:val="28"/>
          <w:szCs w:val="28"/>
        </w:rPr>
        <w:t xml:space="preserve">  </w:t>
      </w:r>
      <w:r>
        <w:rPr>
          <w:rFonts w:hint="eastAsia" w:ascii="仿宋" w:hAnsi="仿宋" w:eastAsia="仿宋" w:cs="仿宋"/>
          <w:sz w:val="28"/>
          <w:szCs w:val="28"/>
        </w:rPr>
        <w:t>学生有权对评选结果提出复议要求。</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基本程序为：</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ascii="仿宋" w:hAnsi="仿宋" w:eastAsia="仿宋" w:cs="仿宋"/>
          <w:sz w:val="28"/>
          <w:szCs w:val="28"/>
        </w:rPr>
        <w:t>1、当事人（本人或</w:t>
      </w:r>
      <w:r>
        <w:rPr>
          <w:rFonts w:hint="eastAsia" w:ascii="仿宋" w:hAnsi="仿宋" w:eastAsia="仿宋" w:cs="仿宋"/>
          <w:sz w:val="28"/>
          <w:szCs w:val="28"/>
        </w:rPr>
        <w:t>授权</w:t>
      </w:r>
      <w:r>
        <w:rPr>
          <w:rFonts w:ascii="仿宋" w:hAnsi="仿宋" w:eastAsia="仿宋" w:cs="仿宋"/>
          <w:sz w:val="28"/>
          <w:szCs w:val="28"/>
        </w:rPr>
        <w:t>代理人）</w:t>
      </w:r>
      <w:r>
        <w:rPr>
          <w:rFonts w:hint="eastAsia" w:ascii="仿宋" w:hAnsi="仿宋" w:eastAsia="仿宋" w:cs="仿宋"/>
          <w:sz w:val="28"/>
          <w:szCs w:val="28"/>
        </w:rPr>
        <w:t>实名</w:t>
      </w:r>
      <w:r>
        <w:rPr>
          <w:rFonts w:ascii="仿宋" w:hAnsi="仿宋" w:eastAsia="仿宋" w:cs="仿宋"/>
          <w:sz w:val="28"/>
          <w:szCs w:val="28"/>
        </w:rPr>
        <w:t>向该班班级评定小组</w:t>
      </w:r>
      <w:r>
        <w:rPr>
          <w:rFonts w:hint="eastAsia" w:ascii="仿宋" w:hAnsi="仿宋" w:eastAsia="仿宋" w:cs="仿宋"/>
          <w:sz w:val="28"/>
          <w:szCs w:val="28"/>
        </w:rPr>
        <w:t>、年级审核小组或年级辅导员</w:t>
      </w:r>
      <w:r>
        <w:rPr>
          <w:rFonts w:ascii="仿宋" w:hAnsi="仿宋" w:eastAsia="仿宋" w:cs="仿宋"/>
          <w:sz w:val="28"/>
          <w:szCs w:val="28"/>
        </w:rPr>
        <w:t>提出复议申请；</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ascii="仿宋" w:hAnsi="仿宋" w:eastAsia="仿宋" w:cs="仿宋"/>
          <w:sz w:val="28"/>
          <w:szCs w:val="28"/>
        </w:rPr>
        <w:t>2、班级评定小组</w:t>
      </w:r>
      <w:r>
        <w:rPr>
          <w:rFonts w:hint="eastAsia" w:ascii="仿宋" w:hAnsi="仿宋" w:eastAsia="仿宋" w:cs="仿宋"/>
          <w:sz w:val="28"/>
          <w:szCs w:val="28"/>
        </w:rPr>
        <w:t>或辅导员</w:t>
      </w:r>
      <w:r>
        <w:rPr>
          <w:rFonts w:ascii="仿宋" w:hAnsi="仿宋" w:eastAsia="仿宋" w:cs="仿宋"/>
          <w:sz w:val="28"/>
          <w:szCs w:val="28"/>
        </w:rPr>
        <w:t>经核实确实存在差错的，交年级综合测评审核小组</w:t>
      </w:r>
      <w:r>
        <w:rPr>
          <w:rFonts w:hint="eastAsia" w:ascii="仿宋" w:hAnsi="仿宋" w:eastAsia="仿宋" w:cs="仿宋"/>
          <w:sz w:val="28"/>
          <w:szCs w:val="28"/>
        </w:rPr>
        <w:t>核实</w:t>
      </w:r>
      <w:r>
        <w:rPr>
          <w:rFonts w:ascii="仿宋" w:hAnsi="仿宋" w:eastAsia="仿宋" w:cs="仿宋"/>
          <w:sz w:val="28"/>
          <w:szCs w:val="28"/>
        </w:rPr>
        <w:t>；</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ascii="仿宋" w:hAnsi="仿宋" w:eastAsia="仿宋" w:cs="仿宋"/>
          <w:sz w:val="28"/>
          <w:szCs w:val="28"/>
        </w:rPr>
        <w:t>3、年级综合测评审核小组经审核属实后，</w:t>
      </w:r>
      <w:r>
        <w:rPr>
          <w:rFonts w:hint="eastAsia" w:ascii="仿宋" w:hAnsi="仿宋" w:eastAsia="仿宋" w:cs="仿宋"/>
          <w:sz w:val="28"/>
          <w:szCs w:val="28"/>
        </w:rPr>
        <w:t>出具改分意见，并提交给学院学生资助评审工作小组作出进一步审核；</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ascii="仿宋" w:hAnsi="仿宋" w:eastAsia="仿宋" w:cs="仿宋"/>
          <w:sz w:val="28"/>
          <w:szCs w:val="28"/>
        </w:rPr>
        <w:t>4、学院学生资助评审工作小组确认审核无误后，将</w:t>
      </w:r>
      <w:r>
        <w:rPr>
          <w:rFonts w:hint="eastAsia" w:ascii="仿宋" w:hAnsi="仿宋" w:eastAsia="仿宋" w:cs="仿宋"/>
          <w:sz w:val="28"/>
          <w:szCs w:val="28"/>
        </w:rPr>
        <w:t>改分意见送该班班长，由班长交班级评定小组执行改分和备案，将更改结果公布并作出解释。</w:t>
      </w:r>
    </w:p>
    <w:p>
      <w:pPr>
        <w:pStyle w:val="8"/>
        <w:widowControl/>
        <w:adjustRightInd w:val="0"/>
        <w:snapToGrid w:val="0"/>
        <w:spacing w:beforeAutospacing="0" w:afterAutospacing="0" w:line="360" w:lineRule="auto"/>
        <w:ind w:firstLine="562" w:firstLineChars="200"/>
        <w:rPr>
          <w:rFonts w:ascii="仿宋" w:hAnsi="仿宋" w:eastAsia="仿宋" w:cs="仿宋"/>
          <w:sz w:val="28"/>
          <w:szCs w:val="28"/>
        </w:rPr>
      </w:pPr>
      <w:r>
        <w:rPr>
          <w:rStyle w:val="13"/>
          <w:rFonts w:hint="eastAsia" w:ascii="仿宋" w:hAnsi="仿宋" w:eastAsia="仿宋" w:cs="仿宋"/>
          <w:sz w:val="28"/>
          <w:szCs w:val="28"/>
        </w:rPr>
        <w:t>第十一条</w:t>
      </w:r>
      <w:r>
        <w:rPr>
          <w:rFonts w:hint="eastAsia" w:ascii="仿宋" w:hAnsi="仿宋" w:eastAsia="仿宋" w:cs="宋体"/>
          <w:sz w:val="28"/>
          <w:szCs w:val="28"/>
        </w:rPr>
        <w:t> </w:t>
      </w:r>
      <w:r>
        <w:rPr>
          <w:rFonts w:hint="eastAsia" w:ascii="仿宋" w:hAnsi="仿宋" w:eastAsia="仿宋" w:cs="仿宋"/>
          <w:sz w:val="28"/>
          <w:szCs w:val="28"/>
        </w:rPr>
        <w:t>对本办法中未涉及的情况由各班班长统一汇总学生意见，上报院学工部，由学工部讨论后作出相应解释。</w:t>
      </w:r>
    </w:p>
    <w:p>
      <w:pPr>
        <w:pStyle w:val="8"/>
        <w:widowControl/>
        <w:adjustRightInd w:val="0"/>
        <w:snapToGrid w:val="0"/>
        <w:spacing w:beforeAutospacing="0" w:afterAutospacing="0" w:line="360" w:lineRule="auto"/>
        <w:jc w:val="both"/>
        <w:rPr>
          <w:rStyle w:val="13"/>
          <w:rFonts w:ascii="仿宋" w:hAnsi="仿宋" w:eastAsia="仿宋" w:cs="仿宋"/>
          <w:sz w:val="28"/>
          <w:szCs w:val="28"/>
        </w:rPr>
      </w:pPr>
    </w:p>
    <w:p>
      <w:pPr>
        <w:pStyle w:val="8"/>
        <w:widowControl/>
        <w:adjustRightInd w:val="0"/>
        <w:snapToGrid w:val="0"/>
        <w:spacing w:beforeAutospacing="0" w:afterAutospacing="0" w:line="360" w:lineRule="auto"/>
        <w:jc w:val="center"/>
        <w:rPr>
          <w:rFonts w:ascii="仿宋" w:hAnsi="仿宋" w:eastAsia="仿宋"/>
          <w:sz w:val="28"/>
          <w:szCs w:val="28"/>
        </w:rPr>
      </w:pPr>
      <w:r>
        <w:rPr>
          <w:rStyle w:val="13"/>
          <w:rFonts w:hint="eastAsia" w:ascii="仿宋" w:hAnsi="仿宋" w:eastAsia="仿宋" w:cs="仿宋"/>
          <w:sz w:val="28"/>
          <w:szCs w:val="28"/>
        </w:rPr>
        <w:t>第二章</w:t>
      </w:r>
      <w:r>
        <w:rPr>
          <w:rStyle w:val="13"/>
          <w:rFonts w:hint="eastAsia" w:ascii="仿宋" w:hAnsi="仿宋" w:eastAsia="仿宋" w:cs="宋体"/>
          <w:sz w:val="28"/>
          <w:szCs w:val="28"/>
        </w:rPr>
        <w:t> </w:t>
      </w:r>
      <w:r>
        <w:rPr>
          <w:rStyle w:val="13"/>
          <w:rFonts w:hint="eastAsia" w:ascii="仿宋" w:hAnsi="仿宋" w:eastAsia="仿宋" w:cs="仿宋"/>
          <w:sz w:val="28"/>
          <w:szCs w:val="28"/>
        </w:rPr>
        <w:t>细则</w:t>
      </w:r>
    </w:p>
    <w:p>
      <w:pPr>
        <w:pStyle w:val="8"/>
        <w:widowControl/>
        <w:adjustRightInd w:val="0"/>
        <w:snapToGrid w:val="0"/>
        <w:spacing w:beforeAutospacing="0" w:afterAutospacing="0" w:line="360" w:lineRule="auto"/>
        <w:ind w:firstLine="562" w:firstLineChars="200"/>
        <w:rPr>
          <w:rFonts w:ascii="仿宋" w:hAnsi="仿宋" w:eastAsia="仿宋"/>
          <w:color w:val="FF0000"/>
          <w:sz w:val="28"/>
          <w:szCs w:val="28"/>
        </w:rPr>
      </w:pPr>
      <w:r>
        <w:rPr>
          <w:rStyle w:val="13"/>
          <w:rFonts w:hint="eastAsia" w:ascii="仿宋" w:hAnsi="仿宋" w:eastAsia="仿宋" w:cs="仿宋"/>
          <w:sz w:val="28"/>
          <w:szCs w:val="28"/>
        </w:rPr>
        <w:t>第十二条 加分</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本加分细则将全面贯彻党的教育方针，以立德树人为根本，紧扣学校人才培养目标，下设三个一级指标“德才兼备”、“领袖气质”、“家国情怀”。</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一级指标A  德才兼备</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测评点：具有理想信念、良好的道德品行、专业素养及文艺体育素养。</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具体加分细则：</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A.1学术科研论文发表</w:t>
      </w:r>
    </w:p>
    <w:tbl>
      <w:tblPr>
        <w:tblStyle w:val="10"/>
        <w:tblW w:w="0" w:type="auto"/>
        <w:tblCellSpacing w:w="0" w:type="dxa"/>
        <w:tblInd w:w="575" w:type="dxa"/>
        <w:tblLayout w:type="autofit"/>
        <w:tblCellMar>
          <w:top w:w="0" w:type="dxa"/>
          <w:left w:w="0" w:type="dxa"/>
          <w:bottom w:w="0" w:type="dxa"/>
          <w:right w:w="0" w:type="dxa"/>
        </w:tblCellMar>
      </w:tblPr>
      <w:tblGrid>
        <w:gridCol w:w="1150"/>
        <w:gridCol w:w="1710"/>
        <w:gridCol w:w="1990"/>
        <w:gridCol w:w="1150"/>
        <w:gridCol w:w="1150"/>
        <w:gridCol w:w="1150"/>
      </w:tblGrid>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论文发表</w:t>
            </w:r>
          </w:p>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刊物级别</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三大索引收录</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国家级核心期刊</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省级期刊</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市级期刊</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校级期刊</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加分/篇</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r>
    </w:tbl>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说明：</w:t>
      </w:r>
    </w:p>
    <w:p>
      <w:pPr>
        <w:pStyle w:val="8"/>
        <w:widowControl/>
        <w:numPr>
          <w:ilvl w:val="0"/>
          <w:numId w:val="1"/>
        </w:numPr>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三大索引指：SCI、EI、ISTP；</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发表的论文计分方式为：第一作者以100%计分，第二作者以80%计分，第三作者以60%计分，第四作者以40%计分，第五及以后作者以20%计分；若老师是第一作者，学生是第二作者，则学生等同于第一作者；并列作者按并列名次计算；对于作者是按拼音排序的论文，由学生导师出具证明，确定该生的贡献程度属于第几作者。</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3、发表或接受时间须在综合测评年度内，论文应以中山大学大气科学学院为署名单位发表，需要提供已发表的文章复印件、发表刊物的封面复印件或接受证明。</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4、在国际学术会议论文集上发表论文，计1.5分；在会议上作口头报告展示的（“oral presentation”），计1分；作海报展示的（“poster presentation”），计0.5分。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在全国学术会议或学术年会论文集上发表论文，计1分；在会议上作口头报告展示的（“oral presentation”），计0.8分；作海报展示的（“poster presentation”），计0.3分。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国际、国内会议的界定主要根据会议主办方和举办地点进行确定，学院学工办对界定具有最终解释权和认证权。</w:t>
      </w:r>
    </w:p>
    <w:p>
      <w:pPr>
        <w:pStyle w:val="8"/>
        <w:widowControl/>
        <w:adjustRightInd w:val="0"/>
        <w:snapToGrid w:val="0"/>
        <w:spacing w:beforeAutospacing="0" w:afterAutospacing="0" w:line="360" w:lineRule="auto"/>
        <w:ind w:firstLine="560" w:firstLineChars="200"/>
        <w:rPr>
          <w:rFonts w:ascii="仿宋" w:hAnsi="仿宋" w:eastAsia="仿宋" w:cs="仿宋"/>
          <w:strike/>
          <w:sz w:val="28"/>
          <w:szCs w:val="28"/>
        </w:rPr>
      </w:pPr>
      <w:r>
        <w:rPr>
          <w:rFonts w:hint="eastAsia" w:ascii="仿宋" w:hAnsi="仿宋" w:eastAsia="仿宋" w:cs="仿宋"/>
          <w:sz w:val="28"/>
          <w:szCs w:val="28"/>
        </w:rPr>
        <w:t>5、同一篇文章被不同的会议或期刊等接受或者发表的，只能选取最高级别加分，即一稿多用不能累加；另外相同内容的论文分别以中英文两个版本发表也算是一稿多用的情况，不能累加，只能取最高分。</w:t>
      </w:r>
    </w:p>
    <w:p>
      <w:pPr>
        <w:pStyle w:val="8"/>
        <w:widowControl/>
        <w:adjustRightInd w:val="0"/>
        <w:snapToGrid w:val="0"/>
        <w:spacing w:beforeAutospacing="0" w:afterAutospacing="0" w:line="360" w:lineRule="auto"/>
        <w:ind w:firstLine="562" w:firstLineChars="200"/>
        <w:rPr>
          <w:rFonts w:ascii="仿宋" w:hAnsi="仿宋" w:eastAsia="仿宋" w:cs="仿宋"/>
          <w:b/>
          <w:sz w:val="28"/>
          <w:szCs w:val="28"/>
        </w:rPr>
      </w:pPr>
      <w:r>
        <w:rPr>
          <w:rStyle w:val="13"/>
          <w:rFonts w:hint="eastAsia" w:ascii="仿宋" w:hAnsi="仿宋" w:eastAsia="仿宋" w:cs="仿宋"/>
          <w:sz w:val="28"/>
          <w:szCs w:val="28"/>
        </w:rPr>
        <w:t>A.2技术专利</w:t>
      </w:r>
    </w:p>
    <w:tbl>
      <w:tblPr>
        <w:tblStyle w:val="10"/>
        <w:tblW w:w="6766" w:type="dxa"/>
        <w:tblCellSpacing w:w="0"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0"/>
        <w:gridCol w:w="1274"/>
        <w:gridCol w:w="1274"/>
        <w:gridCol w:w="127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1670" w:type="dxa"/>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获准专利（已被正式受理）</w:t>
            </w:r>
          </w:p>
        </w:tc>
        <w:tc>
          <w:tcPr>
            <w:tcW w:w="1274" w:type="dxa"/>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第一完成人</w:t>
            </w:r>
          </w:p>
        </w:tc>
        <w:tc>
          <w:tcPr>
            <w:tcW w:w="1274" w:type="dxa"/>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第二完成人</w:t>
            </w:r>
          </w:p>
        </w:tc>
        <w:tc>
          <w:tcPr>
            <w:tcW w:w="1274" w:type="dxa"/>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第三完成人</w:t>
            </w:r>
          </w:p>
        </w:tc>
        <w:tc>
          <w:tcPr>
            <w:tcW w:w="1274" w:type="dxa"/>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其他完成人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1670" w:type="dxa"/>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加分/项</w:t>
            </w:r>
          </w:p>
        </w:tc>
        <w:tc>
          <w:tcPr>
            <w:tcW w:w="1274" w:type="dxa"/>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5</w:t>
            </w:r>
          </w:p>
        </w:tc>
        <w:tc>
          <w:tcPr>
            <w:tcW w:w="1274" w:type="dxa"/>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4</w:t>
            </w:r>
          </w:p>
        </w:tc>
        <w:tc>
          <w:tcPr>
            <w:tcW w:w="1274" w:type="dxa"/>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3</w:t>
            </w:r>
          </w:p>
        </w:tc>
        <w:tc>
          <w:tcPr>
            <w:tcW w:w="1274" w:type="dxa"/>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1.5</w:t>
            </w:r>
          </w:p>
        </w:tc>
      </w:tr>
    </w:tbl>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说明：</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1、提交参评的技术专利必须完成授权阶段，并以授权完成时间作为参评时间，技术专利必须是在评奖年度内获得；</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2、专利需要提供相应的重要正面原件和复印件，并通过学院奖助学金初评小组确认。</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ascii="仿宋" w:hAnsi="仿宋" w:eastAsia="仿宋" w:cs="仿宋"/>
          <w:sz w:val="28"/>
          <w:szCs w:val="28"/>
        </w:rPr>
        <w:t>A.3非主修专业类作品发表</w:t>
      </w:r>
    </w:p>
    <w:tbl>
      <w:tblPr>
        <w:tblStyle w:val="10"/>
        <w:tblW w:w="6782" w:type="dxa"/>
        <w:tblCellSpacing w:w="0"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980"/>
        <w:gridCol w:w="706"/>
        <w:gridCol w:w="1001"/>
        <w:gridCol w:w="999"/>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42"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报刊级别</w:t>
            </w:r>
          </w:p>
        </w:tc>
        <w:tc>
          <w:tcPr>
            <w:tcW w:w="980"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国家级</w:t>
            </w:r>
          </w:p>
        </w:tc>
        <w:tc>
          <w:tcPr>
            <w:tcW w:w="706"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省级</w:t>
            </w:r>
          </w:p>
        </w:tc>
        <w:tc>
          <w:tcPr>
            <w:tcW w:w="1001"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市级</w:t>
            </w:r>
          </w:p>
        </w:tc>
        <w:tc>
          <w:tcPr>
            <w:tcW w:w="999"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校级</w:t>
            </w:r>
          </w:p>
        </w:tc>
        <w:tc>
          <w:tcPr>
            <w:tcW w:w="1854"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校区级/院级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42"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加分/篇</w:t>
            </w:r>
          </w:p>
        </w:tc>
        <w:tc>
          <w:tcPr>
            <w:tcW w:w="980"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0.5</w:t>
            </w:r>
          </w:p>
        </w:tc>
        <w:tc>
          <w:tcPr>
            <w:tcW w:w="706"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0.4</w:t>
            </w:r>
          </w:p>
        </w:tc>
        <w:tc>
          <w:tcPr>
            <w:tcW w:w="1001"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0.3</w:t>
            </w:r>
          </w:p>
        </w:tc>
        <w:tc>
          <w:tcPr>
            <w:tcW w:w="999"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0.2</w:t>
            </w:r>
          </w:p>
        </w:tc>
        <w:tc>
          <w:tcPr>
            <w:tcW w:w="1854" w:type="dxa"/>
            <w:shd w:val="clear" w:color="auto" w:fill="auto"/>
          </w:tcPr>
          <w:p>
            <w:pPr>
              <w:pStyle w:val="8"/>
              <w:widowControl/>
              <w:spacing w:line="360" w:lineRule="auto"/>
              <w:jc w:val="center"/>
              <w:rPr>
                <w:rFonts w:ascii="仿宋" w:hAnsi="仿宋" w:eastAsia="仿宋" w:cs="仿宋"/>
                <w:sz w:val="28"/>
                <w:szCs w:val="25"/>
              </w:rPr>
            </w:pPr>
            <w:r>
              <w:rPr>
                <w:rFonts w:hint="eastAsia" w:ascii="仿宋" w:hAnsi="仿宋" w:eastAsia="仿宋" w:cs="仿宋"/>
                <w:sz w:val="28"/>
                <w:szCs w:val="25"/>
              </w:rPr>
              <w:t>0.1</w:t>
            </w:r>
          </w:p>
        </w:tc>
      </w:tr>
    </w:tbl>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说明：</w:t>
      </w:r>
    </w:p>
    <w:p>
      <w:pPr>
        <w:pStyle w:val="8"/>
        <w:widowControl/>
        <w:numPr>
          <w:ilvl w:val="0"/>
          <w:numId w:val="2"/>
        </w:numPr>
        <w:adjustRightInd w:val="0"/>
        <w:snapToGrid w:val="0"/>
        <w:spacing w:beforeAutospacing="0" w:afterAutospacing="0"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发表的作品是指：新闻报道、文学、摄影、美术、绘画等非主修专业类作品；</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3、校级及校级以上公开发行的报刊必须是有国家新闻出版局颁发刊号的报刊；</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4、发表不同的作品可累计加分；发表在不同级别报刊上的同一作品只计最高分；在各级报刊上发表的文章中，一句话新闻、简讯类文章不予加分，只作为个人兼职或实习成果；摄影作品中同一征稿主题或同属一篇报道的只计作一次；</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5、作品是由多人共同发表的，第一作者以100%计分，第二作者以80%计分，第三作者以60%计分，第四作者以40%计分，第五及以后作者以20%计分；</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6、发表时间须在综合测评年度内，网上发表的新闻报道只限中山大学新闻网（不含校区新闻网），校区级文艺作品限定在社团社刊；</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7、发表作品须为非本职工作成果（如公开征稿被接收）；</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8、本项加分上限为0.5分，累加后超过0.5分的按0.5分计。</w:t>
      </w:r>
      <w:r>
        <w:rPr>
          <w:rStyle w:val="13"/>
          <w:rFonts w:hint="eastAsia" w:ascii="仿宋" w:hAnsi="仿宋" w:eastAsia="仿宋" w:cs="宋体"/>
          <w:sz w:val="28"/>
          <w:szCs w:val="28"/>
        </w:rPr>
        <w:t> </w:t>
      </w:r>
    </w:p>
    <w:p>
      <w:pPr>
        <w:pStyle w:val="8"/>
        <w:widowControl/>
        <w:adjustRightInd w:val="0"/>
        <w:snapToGrid w:val="0"/>
        <w:spacing w:beforeAutospacing="0" w:afterAutospacing="0" w:line="360" w:lineRule="auto"/>
        <w:ind w:firstLine="562" w:firstLineChars="200"/>
        <w:rPr>
          <w:rStyle w:val="13"/>
          <w:rFonts w:ascii="仿宋" w:hAnsi="仿宋" w:eastAsia="仿宋" w:cs="仿宋"/>
          <w:sz w:val="28"/>
          <w:szCs w:val="28"/>
        </w:rPr>
      </w:pPr>
      <w:r>
        <w:rPr>
          <w:rStyle w:val="13"/>
          <w:rFonts w:hint="eastAsia" w:ascii="仿宋" w:hAnsi="仿宋" w:eastAsia="仿宋" w:cs="仿宋"/>
          <w:sz w:val="28"/>
          <w:szCs w:val="28"/>
        </w:rPr>
        <w:t>A.4科研与学习竞赛</w:t>
      </w:r>
    </w:p>
    <w:tbl>
      <w:tblPr>
        <w:tblStyle w:val="10"/>
        <w:tblW w:w="5000" w:type="pct"/>
        <w:tblInd w:w="0" w:type="dxa"/>
        <w:tblLayout w:type="autofit"/>
        <w:tblCellMar>
          <w:top w:w="0" w:type="dxa"/>
          <w:left w:w="108" w:type="dxa"/>
          <w:bottom w:w="0" w:type="dxa"/>
          <w:right w:w="108" w:type="dxa"/>
        </w:tblCellMar>
      </w:tblPr>
      <w:tblGrid>
        <w:gridCol w:w="416"/>
        <w:gridCol w:w="416"/>
        <w:gridCol w:w="416"/>
        <w:gridCol w:w="517"/>
        <w:gridCol w:w="517"/>
        <w:gridCol w:w="517"/>
        <w:gridCol w:w="416"/>
        <w:gridCol w:w="417"/>
        <w:gridCol w:w="518"/>
        <w:gridCol w:w="417"/>
        <w:gridCol w:w="417"/>
        <w:gridCol w:w="518"/>
        <w:gridCol w:w="518"/>
        <w:gridCol w:w="518"/>
        <w:gridCol w:w="518"/>
        <w:gridCol w:w="518"/>
        <w:gridCol w:w="518"/>
        <w:gridCol w:w="518"/>
        <w:gridCol w:w="518"/>
        <w:gridCol w:w="518"/>
        <w:gridCol w:w="518"/>
        <w:gridCol w:w="518"/>
      </w:tblGrid>
      <w:tr>
        <w:tblPrEx>
          <w:tblCellMar>
            <w:top w:w="0" w:type="dxa"/>
            <w:left w:w="108" w:type="dxa"/>
            <w:bottom w:w="0" w:type="dxa"/>
            <w:right w:w="108" w:type="dxa"/>
          </w:tblCellMar>
        </w:tblPrEx>
        <w:trPr>
          <w:trHeight w:val="340" w:hRule="atLeast"/>
        </w:trPr>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等级</w:t>
            </w:r>
          </w:p>
        </w:tc>
        <w:tc>
          <w:tcPr>
            <w:tcW w:w="690"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国际级</w:t>
            </w:r>
          </w:p>
        </w:tc>
        <w:tc>
          <w:tcPr>
            <w:tcW w:w="690"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国家级</w:t>
            </w:r>
          </w:p>
        </w:tc>
        <w:tc>
          <w:tcPr>
            <w:tcW w:w="690"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省级</w:t>
            </w:r>
          </w:p>
        </w:tc>
        <w:tc>
          <w:tcPr>
            <w:tcW w:w="690"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市级</w:t>
            </w:r>
          </w:p>
        </w:tc>
        <w:tc>
          <w:tcPr>
            <w:tcW w:w="694"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校级</w:t>
            </w:r>
          </w:p>
        </w:tc>
        <w:tc>
          <w:tcPr>
            <w:tcW w:w="626"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校区级</w:t>
            </w:r>
          </w:p>
        </w:tc>
        <w:tc>
          <w:tcPr>
            <w:tcW w:w="690"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院级</w:t>
            </w:r>
          </w:p>
        </w:tc>
      </w:tr>
      <w:tr>
        <w:tblPrEx>
          <w:tblCellMar>
            <w:top w:w="0" w:type="dxa"/>
            <w:left w:w="108" w:type="dxa"/>
            <w:bottom w:w="0" w:type="dxa"/>
            <w:right w:w="108" w:type="dxa"/>
          </w:tblCellMar>
        </w:tblPrEx>
        <w:trPr>
          <w:trHeight w:val="340" w:hRule="atLeast"/>
        </w:trPr>
        <w:tc>
          <w:tcPr>
            <w:tcW w:w="23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等级</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一</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二</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一</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二</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一</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二</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一</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二</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一</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二</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一</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二</w:t>
            </w:r>
          </w:p>
        </w:tc>
        <w:tc>
          <w:tcPr>
            <w:tcW w:w="166"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一</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二</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w:t>
            </w:r>
          </w:p>
        </w:tc>
      </w:tr>
      <w:tr>
        <w:tblPrEx>
          <w:tblCellMar>
            <w:top w:w="0" w:type="dxa"/>
            <w:left w:w="108" w:type="dxa"/>
            <w:bottom w:w="0" w:type="dxa"/>
            <w:right w:w="108" w:type="dxa"/>
          </w:tblCellMar>
        </w:tblPrEx>
        <w:trPr>
          <w:trHeight w:val="340" w:hRule="atLeast"/>
        </w:trPr>
        <w:tc>
          <w:tcPr>
            <w:tcW w:w="23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加分</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5</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4</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3.5</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4.5</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3.5</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2.5</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1.5</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1.3</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1.3</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1.1</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0.9</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0.9</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0.8</w:t>
            </w:r>
          </w:p>
        </w:tc>
        <w:tc>
          <w:tcPr>
            <w:tcW w:w="166"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0.7</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0.7</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0.6</w:t>
            </w:r>
          </w:p>
        </w:tc>
        <w:tc>
          <w:tcPr>
            <w:tcW w:w="2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0.5</w:t>
            </w:r>
          </w:p>
        </w:tc>
      </w:tr>
    </w:tbl>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说明：</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1、科研竞赛的种类是指挑战杯课外科技作品（含展望类科技论文）比赛、创业计划类比赛、科技制作大赛、社会科学论文竞赛等；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2、不同学科的学习竞赛可累加计分，同一学科的不同级别学习竞赛只计最高分，不累加；</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3、同一科研成果获不同奖，只计最高分，不累加；不同科研成果获奖，可累加；</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4、获奖时间须在综合测评年度内；</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5、校际以校级计，校区际以校区级计，院际以院级计；</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6、活动级别根据主办单位确定；各种竞赛的级别、类别的认证权在学院学工部；</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7、比赛结果取前3名的则按等级算。若超过3名的，第1名以一等奖计，第2、3名以二等奖计，其后名次以三等奖计。</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比赛结果取等级的则最高等级为一等奖，其余等级奖项依次顺延。（例如：“美国大学生建模大赛” Outstanding Winner按一等奖算，Finalist、Meritorious Winner按二等奖算，Honorable Mention按三等奖算。Unsuccessful Participant、Successful Participant不纳入加分等级。）</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8、集体科研成果获奖按第一作者以100%计分，第二作者以80%计分，第三作者以60%计分，第四作者以40%计分，第五及以后作者以20%计分。若集体科研成果没有界定作者的贡献比例，则统一按100%计分。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9、参加学院本科生研究性学习活动立项、结项，并参加评选，若评选无获奖，加0.3分；参与校级科研项目立项并结题，若评选无获奖，加0.5分；参与校级以上（市、省、国家级等）科研项目立项并结题，若评选无获奖，加0.8分。若研究性学习和科研项目立项的评选获奖，则根据获奖等级按科研类竞赛等级加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10、本项加分上限为5分，累加后超过5分的按5分计。</w:t>
      </w:r>
    </w:p>
    <w:p>
      <w:pPr>
        <w:pStyle w:val="8"/>
        <w:widowControl/>
        <w:adjustRightInd w:val="0"/>
        <w:snapToGrid w:val="0"/>
        <w:spacing w:beforeAutospacing="0" w:afterAutospacing="0" w:line="360" w:lineRule="auto"/>
        <w:ind w:firstLine="562" w:firstLineChars="200"/>
        <w:rPr>
          <w:rFonts w:ascii="仿宋" w:hAnsi="仿宋" w:eastAsia="仿宋"/>
          <w:color w:val="FF0000"/>
          <w:sz w:val="28"/>
          <w:szCs w:val="28"/>
        </w:rPr>
      </w:pPr>
      <w:r>
        <w:rPr>
          <w:rStyle w:val="13"/>
          <w:rFonts w:hint="eastAsia" w:ascii="仿宋" w:hAnsi="仿宋" w:eastAsia="仿宋" w:cs="仿宋"/>
          <w:sz w:val="28"/>
          <w:szCs w:val="28"/>
        </w:rPr>
        <w:t>A.5文化类竞赛</w:t>
      </w:r>
    </w:p>
    <w:tbl>
      <w:tblPr>
        <w:tblStyle w:val="10"/>
        <w:tblW w:w="9879" w:type="dxa"/>
        <w:tblCellSpacing w:w="0" w:type="dxa"/>
        <w:tblInd w:w="15" w:type="dxa"/>
        <w:tblLayout w:type="fixed"/>
        <w:tblCellMar>
          <w:top w:w="0" w:type="dxa"/>
          <w:left w:w="0" w:type="dxa"/>
          <w:bottom w:w="0" w:type="dxa"/>
          <w:right w:w="0" w:type="dxa"/>
        </w:tblCellMar>
      </w:tblPr>
      <w:tblGrid>
        <w:gridCol w:w="372"/>
        <w:gridCol w:w="350"/>
        <w:gridCol w:w="559"/>
        <w:gridCol w:w="538"/>
        <w:gridCol w:w="537"/>
        <w:gridCol w:w="537"/>
        <w:gridCol w:w="538"/>
        <w:gridCol w:w="537"/>
        <w:gridCol w:w="537"/>
        <w:gridCol w:w="538"/>
        <w:gridCol w:w="537"/>
        <w:gridCol w:w="537"/>
        <w:gridCol w:w="538"/>
        <w:gridCol w:w="537"/>
        <w:gridCol w:w="537"/>
        <w:gridCol w:w="538"/>
        <w:gridCol w:w="516"/>
        <w:gridCol w:w="558"/>
        <w:gridCol w:w="538"/>
      </w:tblGrid>
      <w:tr>
        <w:tblPrEx>
          <w:tblCellMar>
            <w:top w:w="0" w:type="dxa"/>
            <w:left w:w="0" w:type="dxa"/>
            <w:bottom w:w="0" w:type="dxa"/>
            <w:right w:w="0" w:type="dxa"/>
          </w:tblCellMar>
        </w:tblPrEx>
        <w:trPr>
          <w:trHeight w:val="1443" w:hRule="atLeast"/>
          <w:tblCellSpacing w:w="0" w:type="dxa"/>
        </w:trPr>
        <w:tc>
          <w:tcPr>
            <w:tcW w:w="3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等级</w:t>
            </w:r>
          </w:p>
        </w:tc>
        <w:tc>
          <w:tcPr>
            <w:tcW w:w="144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国家级</w:t>
            </w:r>
          </w:p>
        </w:tc>
        <w:tc>
          <w:tcPr>
            <w:tcW w:w="161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省级</w:t>
            </w:r>
          </w:p>
        </w:tc>
        <w:tc>
          <w:tcPr>
            <w:tcW w:w="161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市级</w:t>
            </w:r>
          </w:p>
        </w:tc>
        <w:tc>
          <w:tcPr>
            <w:tcW w:w="161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校级</w:t>
            </w:r>
          </w:p>
        </w:tc>
        <w:tc>
          <w:tcPr>
            <w:tcW w:w="161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校区级</w:t>
            </w:r>
          </w:p>
        </w:tc>
        <w:tc>
          <w:tcPr>
            <w:tcW w:w="161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院级</w:t>
            </w:r>
          </w:p>
        </w:tc>
      </w:tr>
      <w:tr>
        <w:tblPrEx>
          <w:tblCellMar>
            <w:top w:w="0" w:type="dxa"/>
            <w:left w:w="0" w:type="dxa"/>
            <w:bottom w:w="0" w:type="dxa"/>
            <w:right w:w="0" w:type="dxa"/>
          </w:tblCellMar>
        </w:tblPrEx>
        <w:trPr>
          <w:trHeight w:val="1443" w:hRule="atLeast"/>
          <w:tblCellSpacing w:w="0" w:type="dxa"/>
        </w:trPr>
        <w:tc>
          <w:tcPr>
            <w:tcW w:w="3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等级</w:t>
            </w:r>
          </w:p>
        </w:tc>
        <w:tc>
          <w:tcPr>
            <w:tcW w:w="3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一</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二</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三</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一</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二</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三</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一</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二</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三</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一</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二</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三</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一</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二</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三</w:t>
            </w:r>
          </w:p>
        </w:tc>
        <w:tc>
          <w:tcPr>
            <w:tcW w:w="5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一</w:t>
            </w:r>
          </w:p>
        </w:tc>
        <w:tc>
          <w:tcPr>
            <w:tcW w:w="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二</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三</w:t>
            </w:r>
          </w:p>
        </w:tc>
      </w:tr>
      <w:tr>
        <w:tblPrEx>
          <w:tblCellMar>
            <w:top w:w="0" w:type="dxa"/>
            <w:left w:w="0" w:type="dxa"/>
            <w:bottom w:w="0" w:type="dxa"/>
            <w:right w:w="0" w:type="dxa"/>
          </w:tblCellMar>
        </w:tblPrEx>
        <w:trPr>
          <w:trHeight w:val="1443" w:hRule="atLeast"/>
          <w:tblCellSpacing w:w="0" w:type="dxa"/>
        </w:trPr>
        <w:tc>
          <w:tcPr>
            <w:tcW w:w="3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加分</w:t>
            </w:r>
          </w:p>
        </w:tc>
        <w:tc>
          <w:tcPr>
            <w:tcW w:w="3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1.5</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1.3</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1.2</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1.2</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1.1</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0.9</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0.8</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0.8</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0.7</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c>
          <w:tcPr>
            <w:tcW w:w="5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0.4</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5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c>
          <w:tcPr>
            <w:tcW w:w="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0.1</w:t>
            </w:r>
          </w:p>
        </w:tc>
      </w:tr>
    </w:tbl>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说明：</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文化类各种竞赛必须是经院、校、省及以上有关单位批准举办的活动，如：社会调查报告、辩论赛、演讲赛、知识竞赛、艺术节。所有的比赛必须是正规比赛，友谊赛不列入加分范围，非学生性质的比赛不列入加分范围，商业性质的比赛不列入加分范围，比赛主办方为国家党政部门或其下设的事业单位、行业协会，比赛级别由主办单位的级别确定，或者根据证书上的盖章确定；</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2、个人参加各类文体比赛中获单项奖的，如最佳、优秀、最受欢迎类奖励，按不同等级所属的分数区间，根据具体比赛情况给分（提交相关获奖证明）。如获院级比赛单项奖，加0.1分；获校区级比赛单项奖，加0.2分；获校级比赛单项奖，加0.3分；获市级比赛单项奖，加0.5分；获省级比赛单项奖，加1分，获国家级单项奖，加1.2分。如果同时获等级和单项奖励，则以最高分值项计分，不累加；如果是团体参加比赛中个人获单项奖的，如最佳辩手，按不同等级所属的分数区间，根据具体比赛情况同上给分（提交相关证明及比赛资料），且可以与团体获奖加分累加；</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3、获团体奖项的个人可按所获名次加分。文艺表演类团体获奖的所有演员加分如上；参加具有竞赛性质的文艺汇演，由学校团委提供证明材料，按相应名次及奖项进行加分；同一文艺汇演参演多次不累加，只计算一次加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4、若比赛存在特等奖奖项，则特等奖加分在一等奖基础上乘以1.1；</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5、获奖时间须在综合测评年度内；</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6、活动级别根据主办单位确定；各种</w:t>
      </w:r>
      <w:bookmarkStart w:id="0" w:name="_Hlk529735719"/>
      <w:r>
        <w:rPr>
          <w:rFonts w:hint="eastAsia" w:ascii="仿宋" w:hAnsi="仿宋" w:eastAsia="仿宋" w:cs="仿宋"/>
          <w:sz w:val="28"/>
          <w:szCs w:val="28"/>
        </w:rPr>
        <w:t>竞赛的级别、类别的认证权在学院学工部；</w:t>
      </w:r>
      <w:bookmarkEnd w:id="0"/>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7、若比赛结果取前3名的则按等级算；若超过3名的，第1名以一等奖计，第2、3名以二等奖计，第4到第8名以三等奖计；第8名之后的名次不加分；</w:t>
      </w:r>
      <w:r>
        <w:rPr>
          <w:rFonts w:ascii="仿宋" w:hAnsi="仿宋" w:eastAsia="仿宋" w:cs="仿宋"/>
          <w:sz w:val="28"/>
          <w:szCs w:val="28"/>
        </w:rPr>
        <w:t> </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8、同一活动获不同级别奖励者，只计最高分，不累加；不同项目可累加；</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9、本项加分上限为2分，累加后超过2分的按2分计；</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10、</w:t>
      </w:r>
      <w:r>
        <w:rPr>
          <w:rFonts w:ascii="仿宋" w:hAnsi="仿宋" w:eastAsia="仿宋" w:cs="仿宋"/>
          <w:sz w:val="28"/>
          <w:szCs w:val="28"/>
        </w:rPr>
        <w:t>文娱比赛的名次确定以获奖证书为凭证，根据等级或名次加分，若有证书但上述细则中没有相应名次，则综合测评领导小组可以根据具体情况确定加相应的分数；文娱比赛类中的同一项目多次获奖只取最高分，不累加，不同的项目之间可以累加，但累加项目不能超过三项，超过三项则依次取三项高分项</w:t>
      </w:r>
      <w:r>
        <w:rPr>
          <w:rFonts w:hint="eastAsia" w:ascii="仿宋" w:hAnsi="仿宋" w:eastAsia="仿宋" w:cs="仿宋"/>
          <w:sz w:val="28"/>
          <w:szCs w:val="28"/>
        </w:rPr>
        <w:t>；</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11、辩论赛/棋类比赛多次获奖则只取最高分，不累加。</w:t>
      </w:r>
    </w:p>
    <w:p>
      <w:pPr>
        <w:pStyle w:val="8"/>
        <w:widowControl/>
        <w:adjustRightInd w:val="0"/>
        <w:snapToGrid w:val="0"/>
        <w:spacing w:beforeAutospacing="0" w:afterAutospacing="0" w:line="360" w:lineRule="auto"/>
        <w:ind w:firstLine="562" w:firstLineChars="200"/>
        <w:rPr>
          <w:rFonts w:ascii="仿宋" w:hAnsi="仿宋" w:eastAsia="仿宋" w:cs="仿宋"/>
          <w:b/>
          <w:sz w:val="28"/>
          <w:szCs w:val="28"/>
        </w:rPr>
      </w:pPr>
      <w:r>
        <w:rPr>
          <w:rStyle w:val="13"/>
          <w:rFonts w:hint="eastAsia" w:ascii="仿宋" w:hAnsi="仿宋" w:eastAsia="仿宋" w:cs="仿宋"/>
          <w:sz w:val="28"/>
          <w:szCs w:val="28"/>
        </w:rPr>
        <w:t>A.6体育类竞赛</w:t>
      </w:r>
    </w:p>
    <w:tbl>
      <w:tblPr>
        <w:tblStyle w:val="10"/>
        <w:tblW w:w="7156" w:type="dxa"/>
        <w:tblCellSpacing w:w="0" w:type="dxa"/>
        <w:tblInd w:w="575" w:type="dxa"/>
        <w:tblLayout w:type="fixed"/>
        <w:tblCellMar>
          <w:top w:w="0" w:type="dxa"/>
          <w:left w:w="0" w:type="dxa"/>
          <w:bottom w:w="0" w:type="dxa"/>
          <w:right w:w="0" w:type="dxa"/>
        </w:tblCellMar>
      </w:tblPr>
      <w:tblGrid>
        <w:gridCol w:w="1412"/>
        <w:gridCol w:w="718"/>
        <w:gridCol w:w="718"/>
        <w:gridCol w:w="718"/>
        <w:gridCol w:w="718"/>
        <w:gridCol w:w="718"/>
        <w:gridCol w:w="718"/>
        <w:gridCol w:w="718"/>
        <w:gridCol w:w="718"/>
      </w:tblGrid>
      <w:tr>
        <w:tblPrEx>
          <w:tblCellMar>
            <w:top w:w="0" w:type="dxa"/>
            <w:left w:w="0" w:type="dxa"/>
            <w:bottom w:w="0" w:type="dxa"/>
            <w:right w:w="0" w:type="dxa"/>
          </w:tblCellMar>
        </w:tblPrEx>
        <w:trPr>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体育类名次</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2</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3</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4</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5</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6</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7</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8</w:t>
            </w:r>
          </w:p>
        </w:tc>
      </w:tr>
      <w:tr>
        <w:tblPrEx>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国家级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2.0</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1.9</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1.8</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1.7</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1.3</w:t>
            </w:r>
          </w:p>
        </w:tc>
      </w:tr>
      <w:tr>
        <w:tblPrEx>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省级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1.2</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1.1</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0.9</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0.8</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0.7</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r>
      <w:tr>
        <w:tblPrEx>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市/校级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0.7</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r>
      <w:tr>
        <w:tblPrEx>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校区级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0.7</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2872" w:type="dxa"/>
            <w:gridSpan w:val="4"/>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0.1</w:t>
            </w:r>
          </w:p>
        </w:tc>
      </w:tr>
      <w:tr>
        <w:tblPrEx>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院级（非田径）</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w:t>
            </w:r>
          </w:p>
        </w:tc>
      </w:tr>
      <w:tr>
        <w:tblPrEx>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院运会田径比赛</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c>
          <w:tcPr>
            <w:tcW w:w="2872" w:type="dxa"/>
            <w:gridSpan w:val="4"/>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0.05</w:t>
            </w:r>
          </w:p>
        </w:tc>
      </w:tr>
    </w:tbl>
    <w:p>
      <w:pPr>
        <w:pStyle w:val="8"/>
        <w:widowControl/>
        <w:adjustRightInd w:val="0"/>
        <w:snapToGrid w:val="0"/>
        <w:spacing w:beforeAutospacing="0" w:afterAutospacing="0" w:line="360" w:lineRule="auto"/>
        <w:ind w:firstLine="560" w:firstLineChars="200"/>
        <w:rPr>
          <w:rFonts w:ascii="仿宋" w:hAnsi="仿宋" w:eastAsia="仿宋" w:cs="宋体"/>
          <w:sz w:val="28"/>
          <w:szCs w:val="28"/>
        </w:rPr>
      </w:pP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说明：</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w:t>
      </w:r>
      <w:r>
        <w:rPr>
          <w:rFonts w:hint="eastAsia" w:ascii="仿宋" w:hAnsi="仿宋" w:eastAsia="仿宋"/>
          <w:sz w:val="28"/>
          <w:szCs w:val="28"/>
        </w:rPr>
        <w:t>所有的比赛必须是正规比赛，友谊赛不列入加分范围，非学生性质的比赛不列入加分范围，商业性质的比赛不列入加分范围，</w:t>
      </w:r>
      <w:r>
        <w:rPr>
          <w:rFonts w:hint="eastAsia" w:ascii="仿宋" w:hAnsi="仿宋" w:eastAsia="仿宋" w:cs="仿宋"/>
          <w:sz w:val="28"/>
          <w:szCs w:val="28"/>
        </w:rPr>
        <w:t>趣味运动项目获奖加分参照同等级别田径类比赛加分取1/3值；</w:t>
      </w:r>
      <w:r>
        <w:rPr>
          <w:rFonts w:hint="eastAsia" w:ascii="仿宋" w:hAnsi="仿宋" w:eastAsia="仿宋"/>
          <w:sz w:val="28"/>
          <w:szCs w:val="28"/>
        </w:rPr>
        <w:t>比赛</w:t>
      </w:r>
      <w:r>
        <w:rPr>
          <w:rFonts w:hint="eastAsia" w:ascii="仿宋" w:hAnsi="仿宋" w:eastAsia="仿宋" w:cs="仿宋"/>
          <w:sz w:val="28"/>
          <w:szCs w:val="28"/>
        </w:rPr>
        <w:t>主办方为国家党政部门或其下设的事业单位、行业协会，比赛</w:t>
      </w:r>
      <w:r>
        <w:rPr>
          <w:rFonts w:hint="eastAsia" w:ascii="仿宋" w:hAnsi="仿宋" w:eastAsia="仿宋"/>
          <w:sz w:val="28"/>
          <w:szCs w:val="28"/>
        </w:rPr>
        <w:t>级别由主办单位的级别确定，或者根据证书上的盖章确定；</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2、体育比赛以每人每次每项计，同一项目在不同级别比赛获奖，只计最高分，不累加；同一大型比赛（例如校运会或者院运会等），不同项目可累加，但累加不可超过3项；获团体奖项者，如接力赛，个人可按此名次加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3、体育比赛中的四强成绩按第四名加分，八强、十强均按第八名加分；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4、参加集体项目的队员个人加分如上，但要提供参加该体育赛事的报名表及其他证明材料（推送稿、比赛照片）；</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5、破纪录加分（不计所得名次分）为相应名次分数乘以1.25；</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6、参加马拉松赛跑完全程，没拿到名次，可加0.1分；</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7、活动级别根据主办单位确定；各种竞赛的级别、类别的认证权在大气学院学工部；</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8、本项加分上限为2分，累加后超过2分的按2分计。</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一级指标B  领袖气质</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测评点：追求卓越，具有担当意识、集体意识以及人文素养。</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具体加分细则：</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B.1学生在评奖年度内获得的各种级别的先进集体和个人奖励、表彰</w:t>
      </w:r>
    </w:p>
    <w:tbl>
      <w:tblPr>
        <w:tblStyle w:val="10"/>
        <w:tblW w:w="6656" w:type="dxa"/>
        <w:tblCellSpacing w:w="0" w:type="dxa"/>
        <w:tblInd w:w="855" w:type="dxa"/>
        <w:tblLayout w:type="fixed"/>
        <w:tblCellMar>
          <w:top w:w="0" w:type="dxa"/>
          <w:left w:w="0" w:type="dxa"/>
          <w:bottom w:w="0" w:type="dxa"/>
          <w:right w:w="0" w:type="dxa"/>
        </w:tblCellMar>
      </w:tblPr>
      <w:tblGrid>
        <w:gridCol w:w="1921"/>
        <w:gridCol w:w="789"/>
        <w:gridCol w:w="789"/>
        <w:gridCol w:w="789"/>
        <w:gridCol w:w="789"/>
        <w:gridCol w:w="790"/>
        <w:gridCol w:w="789"/>
      </w:tblGrid>
      <w:tr>
        <w:tblPrEx>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表彰级别</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国家级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省级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市级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校级</w:t>
            </w:r>
          </w:p>
        </w:tc>
        <w:tc>
          <w:tcPr>
            <w:tcW w:w="79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校区级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院级</w:t>
            </w:r>
          </w:p>
        </w:tc>
      </w:tr>
      <w:tr>
        <w:tblPrEx>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先进个人</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3.5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2.0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0.8</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r>
      <w:tr>
        <w:tblPrEx>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先进集体主要负责人</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3.0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0.4</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r>
      <w:tr>
        <w:tblPrEx>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先进集体一般负责人</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2.0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0.4</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r>
      <w:tr>
        <w:tblPrEx>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先进集体一般成员</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1.3</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0.15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0.1</w:t>
            </w:r>
          </w:p>
        </w:tc>
      </w:tr>
    </w:tbl>
    <w:p>
      <w:pPr>
        <w:pStyle w:val="8"/>
        <w:widowControl/>
        <w:adjustRightInd w:val="0"/>
        <w:snapToGrid w:val="0"/>
        <w:spacing w:beforeAutospacing="0" w:afterAutospacing="0"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 </w:t>
      </w:r>
    </w:p>
    <w:tbl>
      <w:tblPr>
        <w:tblStyle w:val="10"/>
        <w:tblW w:w="4548" w:type="dxa"/>
        <w:tblCellSpacing w:w="0" w:type="dxa"/>
        <w:tblInd w:w="855" w:type="dxa"/>
        <w:tblLayout w:type="fixed"/>
        <w:tblCellMar>
          <w:top w:w="0" w:type="dxa"/>
          <w:left w:w="0" w:type="dxa"/>
          <w:bottom w:w="0" w:type="dxa"/>
          <w:right w:w="0" w:type="dxa"/>
        </w:tblCellMar>
      </w:tblPr>
      <w:tblGrid>
        <w:gridCol w:w="1260"/>
        <w:gridCol w:w="1656"/>
        <w:gridCol w:w="1632"/>
      </w:tblGrid>
      <w:tr>
        <w:tblPrEx>
          <w:tblCellMar>
            <w:top w:w="0" w:type="dxa"/>
            <w:left w:w="0" w:type="dxa"/>
            <w:bottom w:w="0" w:type="dxa"/>
            <w:right w:w="0" w:type="dxa"/>
          </w:tblCellMar>
        </w:tblPrEx>
        <w:trPr>
          <w:tblCellSpacing w:w="0" w:type="dxa"/>
        </w:trPr>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Style w:val="13"/>
                <w:rFonts w:hint="eastAsia" w:ascii="仿宋" w:hAnsi="仿宋" w:eastAsia="仿宋" w:cs="宋体"/>
                <w:sz w:val="28"/>
                <w:szCs w:val="28"/>
              </w:rPr>
              <w:t> </w:t>
            </w:r>
            <w:r>
              <w:rPr>
                <w:rFonts w:hint="eastAsia" w:ascii="仿宋" w:hAnsi="仿宋" w:eastAsia="仿宋" w:cs="仿宋"/>
                <w:sz w:val="28"/>
                <w:szCs w:val="28"/>
              </w:rPr>
              <w:t>等级</w:t>
            </w:r>
          </w:p>
        </w:tc>
        <w:tc>
          <w:tcPr>
            <w:tcW w:w="16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校级十佳文明宿舍</w:t>
            </w:r>
          </w:p>
        </w:tc>
        <w:tc>
          <w:tcPr>
            <w:tcW w:w="16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校级文明宿舍</w:t>
            </w:r>
          </w:p>
        </w:tc>
      </w:tr>
      <w:tr>
        <w:tblPrEx>
          <w:tblCellMar>
            <w:top w:w="0" w:type="dxa"/>
            <w:left w:w="0" w:type="dxa"/>
            <w:bottom w:w="0" w:type="dxa"/>
            <w:right w:w="0" w:type="dxa"/>
          </w:tblCellMar>
        </w:tblPrEx>
        <w:trPr>
          <w:tblCellSpacing w:w="0" w:type="dxa"/>
        </w:trPr>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宿舍成员</w:t>
            </w:r>
          </w:p>
        </w:tc>
        <w:tc>
          <w:tcPr>
            <w:tcW w:w="16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0.3</w:t>
            </w:r>
          </w:p>
        </w:tc>
        <w:tc>
          <w:tcPr>
            <w:tcW w:w="16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0.2</w:t>
            </w:r>
          </w:p>
        </w:tc>
      </w:tr>
    </w:tbl>
    <w:p>
      <w:pPr>
        <w:pStyle w:val="8"/>
        <w:widowControl/>
        <w:adjustRightInd w:val="0"/>
        <w:snapToGrid w:val="0"/>
        <w:spacing w:beforeAutospacing="0" w:afterAutospacing="0" w:line="360" w:lineRule="auto"/>
        <w:ind w:firstLine="562" w:firstLineChars="200"/>
        <w:rPr>
          <w:rStyle w:val="13"/>
          <w:rFonts w:ascii="仿宋" w:hAnsi="仿宋" w:eastAsia="仿宋" w:cs="仿宋"/>
          <w:sz w:val="28"/>
          <w:szCs w:val="28"/>
        </w:rPr>
      </w:pP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说明：</w:t>
      </w:r>
    </w:p>
    <w:p>
      <w:pPr>
        <w:pStyle w:val="8"/>
        <w:widowControl/>
        <w:numPr>
          <w:ilvl w:val="0"/>
          <w:numId w:val="3"/>
        </w:numPr>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先进个人”指：优秀学生、优秀学生干部、优秀共青团干部、优秀社团干部、优秀团员、优秀通讯员、优秀党员、“三下乡”先进个人、勤工助学先进个人、优秀大气圈成员、青马优秀学员、优秀志愿者、健康之星、运动之星、见义勇为、舍己救人、拾金不昧受到有关部门表彰者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2、“先进集体”指：优良学风标兵班、优良学风班、红旗团支部</w:t>
      </w:r>
      <w:r>
        <w:rPr>
          <w:rStyle w:val="13"/>
          <w:rFonts w:hint="eastAsia" w:ascii="仿宋" w:hAnsi="仿宋" w:eastAsia="仿宋" w:cs="仿宋"/>
          <w:sz w:val="28"/>
          <w:szCs w:val="28"/>
        </w:rPr>
        <w:t>、</w:t>
      </w:r>
      <w:r>
        <w:rPr>
          <w:rFonts w:hint="eastAsia" w:ascii="仿宋" w:hAnsi="仿宋" w:eastAsia="仿宋" w:cs="仿宋"/>
          <w:sz w:val="28"/>
          <w:szCs w:val="28"/>
        </w:rPr>
        <w:t>优秀党支部、先进团委、优秀学生会、优秀社团等；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获得同一类别但级别不同的多项先进个人表彰者，除见义勇为、舍己救人、拾金不昧受到有关部门表彰外，如优秀团干的校级、省级或国家级，分数不累加，只计最高分；见义勇为、舍己救人、拾金不昧受到有关部门表彰的分数可与此最高分累加；</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4、凡获得多项先进集体表彰者除优良学风班和优良学风标兵班外，分数不累加，只计最高分；获得优良学风班或优良学风标兵班的可与其它最高分的一项累加；</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 xml:space="preserve">5、获得优良学风标兵班的加分在校级基础上再奖励0.1分； </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6、主要负责人指党支部书记（当学生做支部书记时）、党支部副书记（若老师做支部书记，学生做支部副书记时）、学生会主席团、团委委员团、班长、团支书和学习委员、大气传媒中心正副职、大气科学学院风云学术中心正副职、社团正副职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7、一般负责人指党支部委员、团委正副部长、学生会正副部长、班委、团支部委员、大气传媒中心正副部长、大气科学学院风云学术中心正副部长、社团正副部长等；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8、一般成员指团委干事、学生会干事、班级成员、党支部党员、大气传媒中心干事、大气科学学院风云学术中心干事等；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9、本类加分上限为3.5分，累加后超过3.5分的按3.5分计。</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B.2学生在评奖年度内参与社会工作，担任学生组织各级干部职务、团队领导</w:t>
      </w:r>
    </w:p>
    <w:tbl>
      <w:tblPr>
        <w:tblStyle w:val="10"/>
        <w:tblW w:w="8471" w:type="dxa"/>
        <w:jc w:val="center"/>
        <w:tblCellSpacing w:w="0" w:type="dxa"/>
        <w:tblLayout w:type="fixed"/>
        <w:tblCellMar>
          <w:top w:w="0" w:type="dxa"/>
          <w:left w:w="0" w:type="dxa"/>
          <w:bottom w:w="0" w:type="dxa"/>
          <w:right w:w="0" w:type="dxa"/>
        </w:tblCellMar>
      </w:tblPr>
      <w:tblGrid>
        <w:gridCol w:w="6476"/>
        <w:gridCol w:w="1995"/>
      </w:tblGrid>
      <w:tr>
        <w:tblPrEx>
          <w:tblCellMar>
            <w:top w:w="0" w:type="dxa"/>
            <w:left w:w="0" w:type="dxa"/>
            <w:bottom w:w="0" w:type="dxa"/>
            <w:right w:w="0" w:type="dxa"/>
          </w:tblCellMar>
        </w:tblPrEx>
        <w:trPr>
          <w:trHeight w:val="1294" w:hRule="atLeast"/>
          <w:tblCellSpacing w:w="0" w:type="dxa"/>
          <w:jc w:val="center"/>
        </w:trPr>
        <w:tc>
          <w:tcPr>
            <w:tcW w:w="64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Style w:val="13"/>
                <w:rFonts w:hint="eastAsia" w:ascii="仿宋" w:hAnsi="仿宋" w:eastAsia="仿宋" w:cs="仿宋"/>
                <w:sz w:val="28"/>
                <w:szCs w:val="28"/>
              </w:rPr>
              <w:t>职务级别</w:t>
            </w:r>
          </w:p>
        </w:tc>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Style w:val="13"/>
                <w:rFonts w:ascii="仿宋" w:hAnsi="仿宋" w:eastAsia="仿宋" w:cs="仿宋"/>
                <w:sz w:val="28"/>
                <w:szCs w:val="28"/>
              </w:rPr>
              <w:t>加分</w:t>
            </w:r>
          </w:p>
        </w:tc>
      </w:tr>
      <w:tr>
        <w:tblPrEx>
          <w:tblCellMar>
            <w:top w:w="0" w:type="dxa"/>
            <w:left w:w="0" w:type="dxa"/>
            <w:bottom w:w="0" w:type="dxa"/>
            <w:right w:w="0" w:type="dxa"/>
          </w:tblCellMar>
        </w:tblPrEx>
        <w:trPr>
          <w:trHeight w:val="1294" w:hRule="atLeast"/>
          <w:tblCellSpacing w:w="0" w:type="dxa"/>
          <w:jc w:val="center"/>
        </w:trPr>
        <w:tc>
          <w:tcPr>
            <w:tcW w:w="64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校学生会主席</w:t>
            </w:r>
          </w:p>
        </w:tc>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ascii="仿宋" w:hAnsi="仿宋" w:eastAsia="仿宋" w:cs="仿宋"/>
                <w:sz w:val="28"/>
                <w:szCs w:val="28"/>
              </w:rPr>
              <w:t>1.3</w:t>
            </w:r>
          </w:p>
        </w:tc>
      </w:tr>
      <w:tr>
        <w:tblPrEx>
          <w:tblCellMar>
            <w:top w:w="0" w:type="dxa"/>
            <w:left w:w="0" w:type="dxa"/>
            <w:bottom w:w="0" w:type="dxa"/>
            <w:right w:w="0" w:type="dxa"/>
          </w:tblCellMar>
        </w:tblPrEx>
        <w:trPr>
          <w:trHeight w:val="662" w:hRule="atLeast"/>
          <w:tblCellSpacing w:w="0" w:type="dxa"/>
          <w:jc w:val="center"/>
        </w:trPr>
        <w:tc>
          <w:tcPr>
            <w:tcW w:w="64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校学生会副主席</w:t>
            </w:r>
          </w:p>
        </w:tc>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1.1</w:t>
            </w:r>
          </w:p>
        </w:tc>
      </w:tr>
      <w:tr>
        <w:tblPrEx>
          <w:tblCellMar>
            <w:top w:w="0" w:type="dxa"/>
            <w:left w:w="0" w:type="dxa"/>
            <w:bottom w:w="0" w:type="dxa"/>
            <w:right w:w="0" w:type="dxa"/>
          </w:tblCellMar>
        </w:tblPrEx>
        <w:trPr>
          <w:trHeight w:val="1294" w:hRule="atLeast"/>
          <w:tblCellSpacing w:w="0" w:type="dxa"/>
          <w:jc w:val="center"/>
        </w:trPr>
        <w:tc>
          <w:tcPr>
            <w:tcW w:w="64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校学生会部长，校团委各部门部长，学校社团正职负责人</w:t>
            </w:r>
          </w:p>
        </w:tc>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r>
      <w:tr>
        <w:tblPrEx>
          <w:tblCellMar>
            <w:top w:w="0" w:type="dxa"/>
            <w:left w:w="0" w:type="dxa"/>
            <w:bottom w:w="0" w:type="dxa"/>
            <w:right w:w="0" w:type="dxa"/>
          </w:tblCellMar>
        </w:tblPrEx>
        <w:trPr>
          <w:trHeight w:val="1294" w:hRule="atLeast"/>
          <w:tblCellSpacing w:w="0" w:type="dxa"/>
          <w:jc w:val="center"/>
        </w:trPr>
        <w:tc>
          <w:tcPr>
            <w:tcW w:w="64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校学生会副部长，校团委各部门副部长，学校社团副职负责人</w:t>
            </w:r>
          </w:p>
        </w:tc>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0.8</w:t>
            </w:r>
          </w:p>
        </w:tc>
      </w:tr>
      <w:tr>
        <w:tblPrEx>
          <w:tblCellMar>
            <w:top w:w="0" w:type="dxa"/>
            <w:left w:w="0" w:type="dxa"/>
            <w:bottom w:w="0" w:type="dxa"/>
            <w:right w:w="0" w:type="dxa"/>
          </w:tblCellMar>
        </w:tblPrEx>
        <w:trPr>
          <w:trHeight w:val="1294" w:hRule="atLeast"/>
          <w:tblCellSpacing w:w="0" w:type="dxa"/>
          <w:jc w:val="center"/>
        </w:trPr>
        <w:tc>
          <w:tcPr>
            <w:tcW w:w="64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校学生会干事，校团委干事，学校社团正副部长级负责人</w:t>
            </w:r>
          </w:p>
        </w:tc>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r>
    </w:tbl>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 </w:t>
      </w:r>
    </w:p>
    <w:tbl>
      <w:tblPr>
        <w:tblStyle w:val="10"/>
        <w:tblW w:w="9818" w:type="dxa"/>
        <w:jc w:val="center"/>
        <w:tblCellSpacing w:w="0" w:type="dxa"/>
        <w:tblLayout w:type="fixed"/>
        <w:tblCellMar>
          <w:top w:w="0" w:type="dxa"/>
          <w:left w:w="0" w:type="dxa"/>
          <w:bottom w:w="0" w:type="dxa"/>
          <w:right w:w="0" w:type="dxa"/>
        </w:tblCellMar>
      </w:tblPr>
      <w:tblGrid>
        <w:gridCol w:w="6012"/>
        <w:gridCol w:w="684"/>
        <w:gridCol w:w="895"/>
        <w:gridCol w:w="1240"/>
        <w:gridCol w:w="987"/>
      </w:tblGrid>
      <w:tr>
        <w:tblPrEx>
          <w:tblCellMar>
            <w:top w:w="0" w:type="dxa"/>
            <w:left w:w="0" w:type="dxa"/>
            <w:bottom w:w="0" w:type="dxa"/>
            <w:right w:w="0" w:type="dxa"/>
          </w:tblCellMar>
        </w:tblPrEx>
        <w:trPr>
          <w:tblCellSpacing w:w="0" w:type="dxa"/>
          <w:jc w:val="center"/>
        </w:trPr>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Style w:val="13"/>
                <w:rFonts w:hint="eastAsia" w:ascii="仿宋" w:hAnsi="仿宋" w:eastAsia="仿宋" w:cs="仿宋"/>
                <w:sz w:val="28"/>
                <w:szCs w:val="28"/>
              </w:rPr>
              <w:t>职务级别</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Style w:val="13"/>
                <w:rFonts w:hint="eastAsia" w:ascii="仿宋" w:hAnsi="仿宋" w:eastAsia="仿宋" w:cs="仿宋"/>
                <w:sz w:val="28"/>
                <w:szCs w:val="28"/>
              </w:rPr>
              <w:t>优秀</w:t>
            </w:r>
          </w:p>
        </w:tc>
        <w:tc>
          <w:tcPr>
            <w:tcW w:w="8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Style w:val="13"/>
                <w:rFonts w:ascii="仿宋" w:hAnsi="仿宋" w:eastAsia="仿宋" w:cs="仿宋"/>
                <w:sz w:val="28"/>
                <w:szCs w:val="28"/>
              </w:rPr>
            </w:pPr>
            <w:r>
              <w:rPr>
                <w:rStyle w:val="13"/>
                <w:rFonts w:hint="eastAsia" w:ascii="仿宋" w:hAnsi="仿宋" w:eastAsia="仿宋" w:cs="仿宋"/>
                <w:sz w:val="28"/>
                <w:szCs w:val="28"/>
              </w:rPr>
              <w:t>良好</w:t>
            </w:r>
          </w:p>
        </w:tc>
        <w:tc>
          <w:tcPr>
            <w:tcW w:w="12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Style w:val="13"/>
                <w:rFonts w:ascii="仿宋" w:hAnsi="仿宋" w:eastAsia="仿宋" w:cs="仿宋"/>
                <w:sz w:val="28"/>
                <w:szCs w:val="28"/>
              </w:rPr>
            </w:pPr>
            <w:r>
              <w:rPr>
                <w:rStyle w:val="13"/>
                <w:rFonts w:hint="eastAsia" w:ascii="仿宋" w:hAnsi="仿宋" w:eastAsia="仿宋" w:cs="仿宋"/>
                <w:sz w:val="28"/>
                <w:szCs w:val="28"/>
              </w:rPr>
              <w:t>基本称职</w:t>
            </w:r>
          </w:p>
        </w:tc>
        <w:tc>
          <w:tcPr>
            <w:tcW w:w="9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Style w:val="13"/>
                <w:rFonts w:ascii="仿宋" w:hAnsi="仿宋" w:eastAsia="仿宋" w:cs="仿宋"/>
                <w:sz w:val="28"/>
                <w:szCs w:val="28"/>
              </w:rPr>
            </w:pPr>
            <w:r>
              <w:rPr>
                <w:rStyle w:val="13"/>
                <w:rFonts w:hint="eastAsia" w:ascii="仿宋" w:hAnsi="仿宋" w:eastAsia="仿宋" w:cs="仿宋"/>
                <w:sz w:val="28"/>
                <w:szCs w:val="28"/>
              </w:rPr>
              <w:t>不称职</w:t>
            </w:r>
          </w:p>
        </w:tc>
      </w:tr>
      <w:tr>
        <w:tblPrEx>
          <w:tblCellMar>
            <w:top w:w="0" w:type="dxa"/>
            <w:left w:w="0" w:type="dxa"/>
            <w:bottom w:w="0" w:type="dxa"/>
            <w:right w:w="0" w:type="dxa"/>
          </w:tblCellMar>
        </w:tblPrEx>
        <w:trPr>
          <w:tblCellSpacing w:w="0" w:type="dxa"/>
          <w:jc w:val="center"/>
        </w:trPr>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学院学生会主席、学院团委副书记、大气传媒中心主任、大气科学学院风云学术中心社长</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1.3</w:t>
            </w:r>
          </w:p>
        </w:tc>
        <w:tc>
          <w:tcPr>
            <w:tcW w:w="8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1.1</w:t>
            </w:r>
          </w:p>
        </w:tc>
        <w:tc>
          <w:tcPr>
            <w:tcW w:w="12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0.9</w:t>
            </w:r>
          </w:p>
        </w:tc>
        <w:tc>
          <w:tcPr>
            <w:tcW w:w="9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0.7</w:t>
            </w:r>
          </w:p>
        </w:tc>
      </w:tr>
      <w:tr>
        <w:tblPrEx>
          <w:tblCellMar>
            <w:top w:w="0" w:type="dxa"/>
            <w:left w:w="0" w:type="dxa"/>
            <w:bottom w:w="0" w:type="dxa"/>
            <w:right w:w="0" w:type="dxa"/>
          </w:tblCellMar>
        </w:tblPrEx>
        <w:trPr>
          <w:tblCellSpacing w:w="0" w:type="dxa"/>
          <w:jc w:val="center"/>
        </w:trPr>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学院学生会副主席、团委委员、大气科学学院风云学术中心副社长、学生党支部书记、学生党支部副书记、班长、团支书、班级学习委员、大气传媒中心副主任</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1.2</w:t>
            </w:r>
          </w:p>
        </w:tc>
        <w:tc>
          <w:tcPr>
            <w:tcW w:w="8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1.0</w:t>
            </w:r>
          </w:p>
        </w:tc>
        <w:tc>
          <w:tcPr>
            <w:tcW w:w="12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0.8</w:t>
            </w:r>
          </w:p>
        </w:tc>
        <w:tc>
          <w:tcPr>
            <w:tcW w:w="9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0.6</w:t>
            </w:r>
          </w:p>
        </w:tc>
      </w:tr>
      <w:tr>
        <w:tblPrEx>
          <w:tblCellMar>
            <w:top w:w="0" w:type="dxa"/>
            <w:left w:w="0" w:type="dxa"/>
            <w:bottom w:w="0" w:type="dxa"/>
            <w:right w:w="0" w:type="dxa"/>
          </w:tblCellMar>
        </w:tblPrEx>
        <w:trPr>
          <w:tblCellSpacing w:w="0" w:type="dxa"/>
          <w:jc w:val="center"/>
        </w:trPr>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学院学生会部长、团委部长、大气传媒中心部长、大气科学学院风云学术中心部长、学院各学生党支部委员、学院大气圈圈主</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1.0</w:t>
            </w:r>
          </w:p>
        </w:tc>
        <w:tc>
          <w:tcPr>
            <w:tcW w:w="8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0.8</w:t>
            </w:r>
          </w:p>
        </w:tc>
        <w:tc>
          <w:tcPr>
            <w:tcW w:w="12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0.6</w:t>
            </w:r>
          </w:p>
        </w:tc>
        <w:tc>
          <w:tcPr>
            <w:tcW w:w="9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0.4</w:t>
            </w:r>
          </w:p>
        </w:tc>
      </w:tr>
      <w:tr>
        <w:tblPrEx>
          <w:tblCellMar>
            <w:top w:w="0" w:type="dxa"/>
            <w:left w:w="0" w:type="dxa"/>
            <w:bottom w:w="0" w:type="dxa"/>
            <w:right w:w="0" w:type="dxa"/>
          </w:tblCellMar>
        </w:tblPrEx>
        <w:trPr>
          <w:tblCellSpacing w:w="0" w:type="dxa"/>
          <w:jc w:val="center"/>
        </w:trPr>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学院学生会副部长、大气传媒中心副部长、其他班委、院团委副部长、团支部委员、大气科学学院风云学术中心副部长、学院艺术团团长、学院主礼队负责人</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0.8</w:t>
            </w:r>
          </w:p>
        </w:tc>
        <w:tc>
          <w:tcPr>
            <w:tcW w:w="8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0.6</w:t>
            </w:r>
          </w:p>
        </w:tc>
        <w:tc>
          <w:tcPr>
            <w:tcW w:w="12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0.5</w:t>
            </w:r>
          </w:p>
        </w:tc>
        <w:tc>
          <w:tcPr>
            <w:tcW w:w="9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0.3</w:t>
            </w:r>
          </w:p>
        </w:tc>
      </w:tr>
      <w:tr>
        <w:tblPrEx>
          <w:tblCellMar>
            <w:top w:w="0" w:type="dxa"/>
            <w:left w:w="0" w:type="dxa"/>
            <w:bottom w:w="0" w:type="dxa"/>
            <w:right w:w="0" w:type="dxa"/>
          </w:tblCellMar>
        </w:tblPrEx>
        <w:trPr>
          <w:tblCellSpacing w:w="0" w:type="dxa"/>
          <w:jc w:val="center"/>
        </w:trPr>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rPr>
                <w:rFonts w:ascii="仿宋" w:hAnsi="仿宋" w:eastAsia="仿宋"/>
                <w:sz w:val="28"/>
                <w:szCs w:val="28"/>
              </w:rPr>
            </w:pPr>
            <w:r>
              <w:rPr>
                <w:rFonts w:hint="eastAsia" w:ascii="仿宋" w:hAnsi="仿宋" w:eastAsia="仿宋" w:cs="仿宋"/>
                <w:sz w:val="28"/>
                <w:szCs w:val="28"/>
              </w:rPr>
              <w:t>学院学生会干事、学院团委干事、大气科学学院风云学术中心干事、大气传媒中心干事（若被评为优秀通讯员则变为加0.8）、学院主礼队一般成员、学院大气圈一般成员</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sz w:val="28"/>
                <w:szCs w:val="28"/>
              </w:rPr>
            </w:pPr>
            <w:r>
              <w:rPr>
                <w:rFonts w:hint="eastAsia" w:ascii="仿宋" w:hAnsi="仿宋" w:eastAsia="仿宋" w:cs="仿宋"/>
                <w:sz w:val="28"/>
                <w:szCs w:val="28"/>
              </w:rPr>
              <w:t>0.6</w:t>
            </w:r>
          </w:p>
        </w:tc>
        <w:tc>
          <w:tcPr>
            <w:tcW w:w="8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0.5</w:t>
            </w:r>
          </w:p>
        </w:tc>
        <w:tc>
          <w:tcPr>
            <w:tcW w:w="12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0.4</w:t>
            </w:r>
          </w:p>
        </w:tc>
        <w:tc>
          <w:tcPr>
            <w:tcW w:w="98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adjustRightInd w:val="0"/>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0.2</w:t>
            </w:r>
          </w:p>
        </w:tc>
      </w:tr>
    </w:tbl>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说明：</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1、兼任多项社会工作者，可将担任的各职级相应分数累加，加分上限为 2分，累加后超过2分的按2分计。在同一组织或同一部门担任不同职位者按照最高分加分，不累计；</w:t>
      </w:r>
      <w:bookmarkStart w:id="1" w:name="_Hlk3575904"/>
    </w:p>
    <w:bookmarkEnd w:id="1"/>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ascii="仿宋" w:hAnsi="仿宋" w:eastAsia="仿宋" w:cs="仿宋"/>
          <w:sz w:val="28"/>
          <w:szCs w:val="28"/>
        </w:rPr>
        <w:t>2、学生干部因正当理由而任期不足一届者经证实按任期折算，但因工作失误被解除职务者不能加分；凡有薪酬的职位不予加分</w:t>
      </w:r>
      <w:r>
        <w:rPr>
          <w:rFonts w:hint="eastAsia" w:ascii="仿宋" w:hAnsi="仿宋" w:eastAsia="仿宋" w:cs="仿宋"/>
          <w:sz w:val="28"/>
          <w:szCs w:val="28"/>
        </w:rPr>
        <w:t>；</w:t>
      </w:r>
    </w:p>
    <w:p>
      <w:pPr>
        <w:pStyle w:val="8"/>
        <w:widowControl/>
        <w:adjustRightInd w:val="0"/>
        <w:snapToGrid w:val="0"/>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3、校、院各级学生干部在年度总结中须经上一级组织评议确认工作表现，作为加分依据。如学校团干部、学生会干部的考核成绩由校团委出据加分证明；其他社团的学生干部由该社团负责人出示证明；学院各大组织学生组织干部考核成绩由学工部民主评议出示加分证明；班委和团支部干部由所在班级同学民主评议出据加分意见；党支部委员由所在党支部评议出据加分意见；</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4、担任各组织的学生干部必须在测评前向自己所在的评审小组提供任职证明；</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5、校内各种学生社团必须是经学校团委批准正式注册的社团组织。</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 </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一级指标C  家国情怀</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测评点：爱国荣校、集体观念、志愿服务、社会责任。</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具体加分细则：</w:t>
      </w: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C.1 参与、组织策划公益活动及社会服务获得公益时</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学生获得的公益时数可以转换成综测加分，其中每满50个公益时可转换成0.1分，最高可加0.3分，累加后超过0.3分的按0.3分计。</w:t>
      </w:r>
    </w:p>
    <w:p>
      <w:pPr>
        <w:pStyle w:val="8"/>
        <w:widowControl/>
        <w:adjustRightInd w:val="0"/>
        <w:snapToGrid w:val="0"/>
        <w:spacing w:beforeAutospacing="0" w:afterAutospacing="0" w:line="360" w:lineRule="auto"/>
        <w:ind w:firstLine="562" w:firstLineChars="200"/>
        <w:rPr>
          <w:rFonts w:ascii="仿宋" w:hAnsi="仿宋" w:eastAsia="仿宋"/>
          <w:color w:val="FF0000"/>
          <w:sz w:val="28"/>
          <w:szCs w:val="28"/>
        </w:rPr>
      </w:pPr>
      <w:r>
        <w:rPr>
          <w:rStyle w:val="13"/>
          <w:rFonts w:hint="eastAsia" w:ascii="仿宋" w:hAnsi="仿宋" w:eastAsia="仿宋" w:cs="仿宋"/>
          <w:sz w:val="28"/>
          <w:szCs w:val="28"/>
        </w:rPr>
        <w:t>C.2 参与集体活动</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参加学院指定的重要会议活动任务，会议或活动形式包括但不限于：</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1、理想信念和思想道德教育活动和重要理论学习；</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2、校内、院内先进人物事迹评选或报告会；</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3、学院学科特色活动；</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4、课外各类讲座活动等等。</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每次加0.1分，加分上限为0.3分，累加后超过0.3分的按0.3分计。此类活动在开始前必须报学院备案同意，活动结束后须有名单备案。如遇特殊情况，经学院批准，可适当调整加分值。</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p>
    <w:p>
      <w:pPr>
        <w:pStyle w:val="8"/>
        <w:widowControl/>
        <w:adjustRightInd w:val="0"/>
        <w:snapToGrid w:val="0"/>
        <w:spacing w:beforeAutospacing="0" w:afterAutospacing="0" w:line="360" w:lineRule="auto"/>
        <w:ind w:firstLine="562" w:firstLineChars="200"/>
        <w:rPr>
          <w:rFonts w:ascii="仿宋" w:hAnsi="仿宋" w:eastAsia="仿宋"/>
          <w:sz w:val="28"/>
          <w:szCs w:val="28"/>
        </w:rPr>
      </w:pPr>
      <w:r>
        <w:rPr>
          <w:rStyle w:val="13"/>
          <w:rFonts w:hint="eastAsia" w:ascii="仿宋" w:hAnsi="仿宋" w:eastAsia="仿宋" w:cs="仿宋"/>
          <w:sz w:val="28"/>
          <w:szCs w:val="28"/>
        </w:rPr>
        <w:t>第十三条 扣分</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cs="仿宋"/>
          <w:sz w:val="28"/>
          <w:szCs w:val="28"/>
        </w:rPr>
        <w:t>学生违反学校、学院相关规章制度的，扣分办法如下：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8"/>
              <w:widowControl/>
              <w:adjustRightInd w:val="0"/>
              <w:snapToGrid w:val="0"/>
              <w:spacing w:beforeAutospacing="0" w:afterAutospacing="0" w:line="360" w:lineRule="auto"/>
              <w:jc w:val="center"/>
              <w:rPr>
                <w:rStyle w:val="13"/>
                <w:rFonts w:ascii="仿宋" w:hAnsi="仿宋" w:eastAsia="仿宋" w:cs="仿宋"/>
                <w:b w:val="0"/>
                <w:sz w:val="28"/>
                <w:szCs w:val="28"/>
              </w:rPr>
            </w:pPr>
            <w:r>
              <w:rPr>
                <w:rStyle w:val="13"/>
                <w:rFonts w:hint="eastAsia" w:ascii="仿宋" w:hAnsi="仿宋" w:eastAsia="仿宋" w:cs="仿宋"/>
                <w:b w:val="0"/>
                <w:sz w:val="28"/>
                <w:szCs w:val="28"/>
              </w:rPr>
              <w:t>扣分</w:t>
            </w:r>
          </w:p>
        </w:tc>
        <w:tc>
          <w:tcPr>
            <w:tcW w:w="9043" w:type="dxa"/>
            <w:vAlign w:val="center"/>
          </w:tcPr>
          <w:p>
            <w:pPr>
              <w:pStyle w:val="8"/>
              <w:widowControl/>
              <w:adjustRightInd w:val="0"/>
              <w:snapToGrid w:val="0"/>
              <w:spacing w:beforeAutospacing="0" w:afterAutospacing="0" w:line="360" w:lineRule="auto"/>
              <w:jc w:val="center"/>
              <w:rPr>
                <w:rStyle w:val="13"/>
                <w:rFonts w:ascii="仿宋" w:hAnsi="仿宋" w:eastAsia="仿宋" w:cs="仿宋"/>
                <w:b w:val="0"/>
                <w:sz w:val="28"/>
                <w:szCs w:val="28"/>
              </w:rPr>
            </w:pPr>
            <w:r>
              <w:rPr>
                <w:rStyle w:val="13"/>
                <w:rFonts w:hint="eastAsia" w:ascii="仿宋" w:hAnsi="仿宋" w:eastAsia="仿宋" w:cs="仿宋"/>
                <w:b w:val="0"/>
                <w:sz w:val="28"/>
                <w:szCs w:val="28"/>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
              <w:widowControl/>
              <w:adjustRightInd w:val="0"/>
              <w:snapToGrid w:val="0"/>
              <w:spacing w:beforeAutospacing="0" w:afterAutospacing="0" w:line="360" w:lineRule="auto"/>
              <w:jc w:val="center"/>
              <w:rPr>
                <w:rStyle w:val="13"/>
                <w:rFonts w:ascii="仿宋" w:hAnsi="仿宋" w:eastAsia="仿宋" w:cs="仿宋"/>
                <w:b w:val="0"/>
                <w:kern w:val="2"/>
                <w:sz w:val="28"/>
                <w:szCs w:val="28"/>
              </w:rPr>
            </w:pPr>
            <w:r>
              <w:rPr>
                <w:rStyle w:val="13"/>
                <w:rFonts w:hint="eastAsia" w:ascii="仿宋" w:hAnsi="仿宋" w:eastAsia="仿宋" w:cs="仿宋"/>
                <w:b w:val="0"/>
                <w:sz w:val="28"/>
                <w:szCs w:val="28"/>
              </w:rPr>
              <w:t>0.2/次</w:t>
            </w:r>
          </w:p>
        </w:tc>
        <w:tc>
          <w:tcPr>
            <w:tcW w:w="9043" w:type="dxa"/>
          </w:tcPr>
          <w:p>
            <w:pPr>
              <w:pStyle w:val="8"/>
              <w:widowControl/>
              <w:adjustRightInd w:val="0"/>
              <w:snapToGrid w:val="0"/>
              <w:spacing w:beforeAutospacing="0" w:afterAutospacing="0" w:line="360" w:lineRule="auto"/>
              <w:rPr>
                <w:rStyle w:val="13"/>
                <w:rFonts w:ascii="仿宋" w:hAnsi="仿宋" w:eastAsia="仿宋" w:cs="仿宋"/>
                <w:b w:val="0"/>
                <w:sz w:val="28"/>
                <w:szCs w:val="28"/>
              </w:rPr>
            </w:pPr>
            <w:r>
              <w:rPr>
                <w:rStyle w:val="13"/>
                <w:rFonts w:hint="eastAsia" w:ascii="仿宋" w:hAnsi="仿宋" w:eastAsia="仿宋" w:cs="仿宋"/>
                <w:b w:val="0"/>
                <w:sz w:val="28"/>
                <w:szCs w:val="28"/>
              </w:rPr>
              <w:t>在校、院系有关部门及学生会的卫生检查中，评为不合格宿舍的成员，或无故拒绝卫生检查的宿舍成员。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
              <w:widowControl/>
              <w:adjustRightInd w:val="0"/>
              <w:snapToGrid w:val="0"/>
              <w:spacing w:beforeAutospacing="0" w:afterAutospacing="0" w:line="360" w:lineRule="auto"/>
              <w:jc w:val="center"/>
              <w:rPr>
                <w:rStyle w:val="13"/>
                <w:rFonts w:ascii="仿宋" w:hAnsi="仿宋" w:eastAsia="仿宋" w:cs="仿宋"/>
                <w:b w:val="0"/>
                <w:kern w:val="2"/>
                <w:sz w:val="28"/>
                <w:szCs w:val="28"/>
              </w:rPr>
            </w:pPr>
            <w:r>
              <w:rPr>
                <w:rStyle w:val="13"/>
                <w:rFonts w:hint="eastAsia" w:ascii="仿宋" w:hAnsi="仿宋" w:eastAsia="仿宋" w:cs="仿宋"/>
                <w:b w:val="0"/>
                <w:sz w:val="28"/>
                <w:szCs w:val="28"/>
              </w:rPr>
              <w:t>0.2/次</w:t>
            </w:r>
          </w:p>
        </w:tc>
        <w:tc>
          <w:tcPr>
            <w:tcW w:w="9043" w:type="dxa"/>
          </w:tcPr>
          <w:p>
            <w:pPr>
              <w:pStyle w:val="8"/>
              <w:widowControl/>
              <w:adjustRightInd w:val="0"/>
              <w:snapToGrid w:val="0"/>
              <w:spacing w:beforeAutospacing="0" w:afterAutospacing="0" w:line="360" w:lineRule="auto"/>
              <w:rPr>
                <w:rStyle w:val="13"/>
                <w:rFonts w:ascii="仿宋" w:hAnsi="仿宋" w:eastAsia="仿宋" w:cs="仿宋"/>
                <w:b w:val="0"/>
                <w:sz w:val="28"/>
                <w:szCs w:val="28"/>
              </w:rPr>
            </w:pPr>
            <w:r>
              <w:rPr>
                <w:rStyle w:val="13"/>
                <w:rFonts w:hint="eastAsia" w:ascii="仿宋" w:hAnsi="仿宋" w:eastAsia="仿宋" w:cs="仿宋"/>
                <w:b w:val="0"/>
                <w:sz w:val="28"/>
                <w:szCs w:val="28"/>
              </w:rPr>
              <w:t>学校、学院要求全体同学参加的会议、讲座、活动中，无正当理由迟到、早退、缺席者。</w:t>
            </w:r>
          </w:p>
        </w:tc>
      </w:tr>
    </w:tbl>
    <w:p>
      <w:pPr>
        <w:pStyle w:val="8"/>
        <w:widowControl/>
        <w:adjustRightInd w:val="0"/>
        <w:snapToGrid w:val="0"/>
        <w:spacing w:beforeAutospacing="0" w:afterAutospacing="0" w:line="360" w:lineRule="auto"/>
        <w:jc w:val="both"/>
        <w:rPr>
          <w:rStyle w:val="13"/>
          <w:rFonts w:ascii="仿宋" w:hAnsi="仿宋" w:eastAsia="仿宋" w:cs="仿宋"/>
          <w:sz w:val="28"/>
          <w:szCs w:val="28"/>
        </w:rPr>
      </w:pPr>
    </w:p>
    <w:p>
      <w:pPr>
        <w:pStyle w:val="8"/>
        <w:widowControl/>
        <w:adjustRightInd w:val="0"/>
        <w:snapToGrid w:val="0"/>
        <w:spacing w:beforeAutospacing="0" w:afterAutospacing="0" w:line="360" w:lineRule="auto"/>
        <w:jc w:val="center"/>
        <w:rPr>
          <w:rFonts w:ascii="仿宋" w:hAnsi="仿宋" w:eastAsia="仿宋"/>
          <w:sz w:val="28"/>
          <w:szCs w:val="28"/>
        </w:rPr>
      </w:pPr>
      <w:r>
        <w:rPr>
          <w:rStyle w:val="13"/>
          <w:rFonts w:hint="eastAsia" w:ascii="仿宋" w:hAnsi="仿宋" w:eastAsia="仿宋" w:cs="仿宋"/>
          <w:sz w:val="28"/>
          <w:szCs w:val="28"/>
        </w:rPr>
        <w:t>第三章</w:t>
      </w:r>
      <w:r>
        <w:rPr>
          <w:rStyle w:val="13"/>
          <w:rFonts w:hint="eastAsia" w:ascii="仿宋" w:hAnsi="仿宋" w:eastAsia="仿宋" w:cs="宋体"/>
          <w:sz w:val="28"/>
          <w:szCs w:val="28"/>
        </w:rPr>
        <w:t> </w:t>
      </w:r>
      <w:r>
        <w:rPr>
          <w:rStyle w:val="13"/>
          <w:rFonts w:hint="eastAsia" w:ascii="仿宋" w:hAnsi="仿宋" w:eastAsia="仿宋" w:cs="仿宋"/>
          <w:sz w:val="28"/>
          <w:szCs w:val="28"/>
        </w:rPr>
        <w:t>附则</w:t>
      </w:r>
    </w:p>
    <w:p>
      <w:pPr>
        <w:pStyle w:val="8"/>
        <w:widowControl/>
        <w:adjustRightInd w:val="0"/>
        <w:snapToGrid w:val="0"/>
        <w:spacing w:line="360" w:lineRule="auto"/>
        <w:ind w:firstLine="562" w:firstLineChars="200"/>
        <w:rPr>
          <w:rFonts w:ascii="仿宋" w:hAnsi="仿宋" w:eastAsia="仿宋" w:cs="仿宋"/>
          <w:sz w:val="28"/>
          <w:szCs w:val="28"/>
        </w:rPr>
      </w:pPr>
      <w:r>
        <w:rPr>
          <w:rStyle w:val="13"/>
          <w:rFonts w:hint="eastAsia" w:ascii="仿宋" w:hAnsi="仿宋" w:eastAsia="仿宋" w:cs="仿宋"/>
          <w:sz w:val="28"/>
          <w:szCs w:val="28"/>
        </w:rPr>
        <w:t>第十四条</w:t>
      </w:r>
      <w:r>
        <w:rPr>
          <w:rFonts w:hint="eastAsia" w:ascii="仿宋" w:hAnsi="仿宋" w:eastAsia="仿宋" w:cs="宋体"/>
          <w:sz w:val="28"/>
          <w:szCs w:val="28"/>
        </w:rPr>
        <w:t> </w:t>
      </w:r>
      <w:r>
        <w:rPr>
          <w:rFonts w:hint="eastAsia" w:ascii="仿宋" w:hAnsi="仿宋" w:eastAsia="仿宋" w:cs="仿宋"/>
          <w:sz w:val="28"/>
          <w:szCs w:val="28"/>
        </w:rPr>
        <w:t>本办法由大气科学学院学生工作部负责解释和修订。</w:t>
      </w:r>
    </w:p>
    <w:p>
      <w:pPr>
        <w:pStyle w:val="8"/>
        <w:widowControl/>
        <w:adjustRightInd w:val="0"/>
        <w:snapToGrid w:val="0"/>
        <w:spacing w:beforeAutospacing="0" w:afterAutospacing="0" w:line="360" w:lineRule="auto"/>
        <w:ind w:firstLine="562" w:firstLineChars="200"/>
        <w:rPr>
          <w:rFonts w:ascii="仿宋" w:hAnsi="仿宋" w:eastAsia="仿宋" w:cs="仿宋"/>
          <w:sz w:val="28"/>
          <w:szCs w:val="28"/>
        </w:rPr>
      </w:pPr>
      <w:r>
        <w:rPr>
          <w:rStyle w:val="13"/>
          <w:rFonts w:hint="eastAsia" w:ascii="仿宋" w:hAnsi="仿宋" w:eastAsia="仿宋" w:cs="仿宋"/>
          <w:sz w:val="28"/>
          <w:szCs w:val="28"/>
        </w:rPr>
        <w:t>第十五条</w:t>
      </w:r>
      <w:r>
        <w:rPr>
          <w:rFonts w:hint="eastAsia" w:ascii="仿宋" w:hAnsi="仿宋" w:eastAsia="仿宋" w:cs="宋体"/>
          <w:sz w:val="28"/>
          <w:szCs w:val="28"/>
        </w:rPr>
        <w:t> </w:t>
      </w:r>
      <w:r>
        <w:rPr>
          <w:rFonts w:hint="eastAsia" w:ascii="仿宋" w:hAnsi="仿宋" w:eastAsia="仿宋" w:cs="仿宋"/>
          <w:sz w:val="28"/>
          <w:szCs w:val="28"/>
        </w:rPr>
        <w:t>本办法自公布之日起实施。</w:t>
      </w:r>
    </w:p>
    <w:p>
      <w:pPr>
        <w:pStyle w:val="8"/>
        <w:widowControl/>
        <w:adjustRightInd w:val="0"/>
        <w:snapToGrid w:val="0"/>
        <w:spacing w:beforeAutospacing="0" w:afterAutospacing="0" w:line="360" w:lineRule="auto"/>
        <w:ind w:firstLine="562" w:firstLineChars="200"/>
        <w:rPr>
          <w:rFonts w:ascii="仿宋" w:hAnsi="仿宋" w:eastAsia="仿宋" w:cs="仿宋"/>
          <w:sz w:val="28"/>
          <w:szCs w:val="28"/>
        </w:rPr>
      </w:pPr>
      <w:r>
        <w:rPr>
          <w:rStyle w:val="13"/>
          <w:rFonts w:hint="eastAsia" w:ascii="仿宋" w:hAnsi="仿宋" w:eastAsia="仿宋" w:cs="仿宋"/>
          <w:sz w:val="28"/>
          <w:szCs w:val="28"/>
        </w:rPr>
        <w:t xml:space="preserve">第十六条 </w:t>
      </w:r>
      <w:r>
        <w:rPr>
          <w:rFonts w:hint="eastAsia" w:ascii="仿宋" w:hAnsi="仿宋" w:eastAsia="仿宋" w:cs="仿宋"/>
          <w:sz w:val="28"/>
          <w:szCs w:val="28"/>
        </w:rPr>
        <w:t>综合测评结果公示期间，同学若对结果有任何异议可逐级提出复议，逾期不再受理。</w:t>
      </w:r>
    </w:p>
    <w:p>
      <w:pPr>
        <w:pStyle w:val="8"/>
        <w:widowControl/>
        <w:adjustRightInd w:val="0"/>
        <w:snapToGrid w:val="0"/>
        <w:spacing w:beforeAutospacing="0" w:afterAutospacing="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xml:space="preserve"> 本方案应在实践中不断地完善。对于具体事项与时间的安排，各评审单位可以根据具体情况且经年级综合测评领导小组审议通过后作出适当的变动。</w:t>
      </w:r>
    </w:p>
    <w:p>
      <w:pPr>
        <w:pStyle w:val="8"/>
        <w:widowControl/>
        <w:adjustRightInd w:val="0"/>
        <w:snapToGrid w:val="0"/>
        <w:spacing w:beforeAutospacing="0" w:afterAutospacing="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xml:space="preserve"> 本方案的解释权在大气科学学院学生工作领导小组。</w:t>
      </w:r>
    </w:p>
    <w:p>
      <w:pPr>
        <w:pStyle w:val="8"/>
        <w:widowControl/>
        <w:numPr>
          <w:ilvl w:val="255"/>
          <w:numId w:val="0"/>
        </w:numPr>
        <w:adjustRightInd w:val="0"/>
        <w:snapToGrid w:val="0"/>
        <w:spacing w:beforeAutospacing="0" w:afterAutospacing="0" w:line="360" w:lineRule="auto"/>
        <w:ind w:firstLine="560" w:firstLineChars="200"/>
        <w:rPr>
          <w:rFonts w:ascii="仿宋" w:hAnsi="仿宋" w:eastAsia="仿宋" w:cs="仿宋"/>
          <w:sz w:val="28"/>
          <w:szCs w:val="28"/>
        </w:rPr>
      </w:pPr>
    </w:p>
    <w:p>
      <w:pPr>
        <w:pStyle w:val="8"/>
        <w:widowControl/>
        <w:adjustRightInd w:val="0"/>
        <w:snapToGrid w:val="0"/>
        <w:spacing w:beforeAutospacing="0" w:afterAutospacing="0" w:line="360" w:lineRule="auto"/>
        <w:jc w:val="right"/>
        <w:rPr>
          <w:rFonts w:ascii="仿宋" w:hAnsi="仿宋" w:eastAsia="仿宋"/>
          <w:sz w:val="28"/>
          <w:szCs w:val="28"/>
        </w:rPr>
      </w:pPr>
      <w:r>
        <w:rPr>
          <w:rFonts w:hint="eastAsia" w:ascii="仿宋" w:hAnsi="仿宋" w:eastAsia="仿宋" w:cs="仿宋"/>
          <w:sz w:val="28"/>
          <w:szCs w:val="28"/>
        </w:rPr>
        <w:t>大气科学学院</w:t>
      </w:r>
    </w:p>
    <w:p>
      <w:pPr>
        <w:pStyle w:val="8"/>
        <w:widowControl/>
        <w:adjustRightInd w:val="0"/>
        <w:snapToGrid w:val="0"/>
        <w:spacing w:beforeAutospacing="0" w:afterAutospacing="0" w:line="360" w:lineRule="auto"/>
        <w:jc w:val="right"/>
        <w:rPr>
          <w:rFonts w:ascii="仿宋" w:hAnsi="仿宋" w:eastAsia="仿宋" w:cs="仿宋"/>
          <w:sz w:val="28"/>
          <w:szCs w:val="28"/>
        </w:rPr>
      </w:pPr>
      <w:r>
        <w:rPr>
          <w:rFonts w:hint="eastAsia" w:ascii="仿宋" w:hAnsi="仿宋" w:eastAsia="仿宋" w:cs="仿宋"/>
          <w:sz w:val="28"/>
          <w:szCs w:val="28"/>
        </w:rPr>
        <w:t>2020年4月</w:t>
      </w: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p>
    <w:p>
      <w:pPr>
        <w:pStyle w:val="8"/>
        <w:widowControl/>
        <w:adjustRightInd w:val="0"/>
        <w:snapToGrid w:val="0"/>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862"/>
        <w:gridCol w:w="648"/>
        <w:gridCol w:w="1297"/>
        <w:gridCol w:w="1081"/>
        <w:gridCol w:w="2584"/>
        <w:gridCol w:w="1081"/>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gridSpan w:val="8"/>
            <w:vMerge w:val="restart"/>
            <w:noWrap/>
            <w:vAlign w:val="center"/>
          </w:tcPr>
          <w:p>
            <w:pPr>
              <w:adjustRightInd w:val="0"/>
              <w:snapToGrid w:val="0"/>
              <w:jc w:val="center"/>
              <w:rPr>
                <w:rFonts w:ascii="仿宋" w:hAnsi="仿宋" w:eastAsia="仿宋"/>
                <w:sz w:val="24"/>
                <w:szCs w:val="28"/>
              </w:rPr>
            </w:pPr>
            <w:r>
              <w:rPr>
                <w:rFonts w:hint="eastAsia" w:ascii="仿宋" w:hAnsi="仿宋" w:eastAsia="仿宋"/>
                <w:sz w:val="32"/>
                <w:szCs w:val="28"/>
              </w:rPr>
              <w:t>大气科学学院综合测评附加分明细表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gridSpan w:val="8"/>
            <w:vMerge w:val="continue"/>
            <w:vAlign w:val="center"/>
          </w:tcPr>
          <w:p>
            <w:pPr>
              <w:adjustRightInd w:val="0"/>
              <w:snapToGrid w:val="0"/>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序号</w:t>
            </w:r>
          </w:p>
        </w:tc>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学号</w:t>
            </w:r>
          </w:p>
        </w:tc>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姓名</w:t>
            </w:r>
          </w:p>
        </w:tc>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附加分总计</w:t>
            </w:r>
          </w:p>
        </w:tc>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折合绩点</w:t>
            </w:r>
          </w:p>
        </w:tc>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细则</w:t>
            </w:r>
          </w:p>
        </w:tc>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加分依据</w:t>
            </w:r>
          </w:p>
        </w:tc>
        <w:tc>
          <w:tcPr>
            <w:tcW w:w="0" w:type="auto"/>
            <w:noWrap/>
            <w:vAlign w:val="center"/>
          </w:tcPr>
          <w:p>
            <w:pPr>
              <w:adjustRightInd w:val="0"/>
              <w:snapToGrid w:val="0"/>
              <w:jc w:val="center"/>
              <w:rPr>
                <w:rFonts w:ascii="仿宋" w:hAnsi="仿宋" w:eastAsia="仿宋"/>
                <w:b/>
                <w:bCs/>
                <w:sz w:val="24"/>
                <w:szCs w:val="28"/>
              </w:rPr>
            </w:pPr>
            <w:r>
              <w:rPr>
                <w:rFonts w:hint="eastAsia" w:ascii="仿宋" w:hAnsi="仿宋" w:eastAsia="仿宋"/>
                <w:b/>
                <w:bCs/>
                <w:sz w:val="24"/>
                <w:szCs w:val="28"/>
              </w:rPr>
              <w:t>核实无误本人签名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1（举例）</w:t>
            </w:r>
          </w:p>
        </w:tc>
        <w:tc>
          <w:tcPr>
            <w:tcW w:w="0" w:type="auto"/>
            <w:vMerge w:val="restart"/>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100000</w:t>
            </w:r>
          </w:p>
        </w:tc>
        <w:tc>
          <w:tcPr>
            <w:tcW w:w="0" w:type="auto"/>
            <w:vMerge w:val="restart"/>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张三</w:t>
            </w:r>
          </w:p>
        </w:tc>
        <w:tc>
          <w:tcPr>
            <w:tcW w:w="0" w:type="auto"/>
            <w:vMerge w:val="restart"/>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2.9</w:t>
            </w:r>
          </w:p>
        </w:tc>
        <w:tc>
          <w:tcPr>
            <w:tcW w:w="0" w:type="auto"/>
            <w:vMerge w:val="restart"/>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0.29</w:t>
            </w:r>
          </w:p>
        </w:tc>
        <w:tc>
          <w:tcPr>
            <w:tcW w:w="0" w:type="auto"/>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公益时99个（0.1）</w:t>
            </w:r>
          </w:p>
        </w:tc>
        <w:tc>
          <w:tcPr>
            <w:tcW w:w="0" w:type="auto"/>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C.1</w:t>
            </w:r>
          </w:p>
        </w:tc>
        <w:tc>
          <w:tcPr>
            <w:tcW w:w="0" w:type="auto"/>
            <w:vMerge w:val="restart"/>
            <w:noWrap/>
            <w:vAlign w:val="center"/>
          </w:tcPr>
          <w:p>
            <w:pPr>
              <w:adjustRightInd w:val="0"/>
              <w:snapToGrid w:val="0"/>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中山大学优秀团员 (0.8)</w:t>
            </w:r>
          </w:p>
        </w:tc>
        <w:tc>
          <w:tcPr>
            <w:tcW w:w="0" w:type="auto"/>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B.1</w:t>
            </w:r>
          </w:p>
        </w:tc>
        <w:tc>
          <w:tcPr>
            <w:tcW w:w="0" w:type="auto"/>
            <w:vMerge w:val="continue"/>
            <w:vAlign w:val="center"/>
          </w:tcPr>
          <w:p>
            <w:pPr>
              <w:adjustRightInd w:val="0"/>
              <w:snapToGrid w:val="0"/>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vMerge w:val="continue"/>
            <w:vAlign w:val="center"/>
          </w:tcPr>
          <w:p>
            <w:pPr>
              <w:adjustRightInd w:val="0"/>
              <w:snapToGrid w:val="0"/>
              <w:jc w:val="center"/>
              <w:rPr>
                <w:rFonts w:ascii="仿宋" w:hAnsi="仿宋" w:eastAsia="仿宋"/>
                <w:sz w:val="24"/>
                <w:szCs w:val="28"/>
              </w:rPr>
            </w:pPr>
          </w:p>
        </w:tc>
        <w:tc>
          <w:tcPr>
            <w:tcW w:w="0" w:type="auto"/>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班长（1.2）学院学生会副部长（0.8）学院大气圈导学圈成员（0.6）【注意：此时已超出加分上限2.0，所以计算时只按2.0计算】</w:t>
            </w:r>
          </w:p>
        </w:tc>
        <w:tc>
          <w:tcPr>
            <w:tcW w:w="0" w:type="auto"/>
            <w:noWrap/>
            <w:vAlign w:val="center"/>
          </w:tcPr>
          <w:p>
            <w:pPr>
              <w:adjustRightInd w:val="0"/>
              <w:snapToGrid w:val="0"/>
              <w:jc w:val="center"/>
              <w:rPr>
                <w:rFonts w:ascii="仿宋" w:hAnsi="仿宋" w:eastAsia="仿宋"/>
                <w:sz w:val="24"/>
                <w:szCs w:val="28"/>
              </w:rPr>
            </w:pPr>
            <w:r>
              <w:rPr>
                <w:rFonts w:hint="eastAsia" w:ascii="仿宋" w:hAnsi="仿宋" w:eastAsia="仿宋"/>
                <w:sz w:val="24"/>
                <w:szCs w:val="28"/>
              </w:rPr>
              <w:t>B.2</w:t>
            </w:r>
          </w:p>
        </w:tc>
        <w:tc>
          <w:tcPr>
            <w:tcW w:w="0" w:type="auto"/>
            <w:vMerge w:val="continue"/>
            <w:vAlign w:val="center"/>
          </w:tcPr>
          <w:p>
            <w:pPr>
              <w:adjustRightInd w:val="0"/>
              <w:snapToGrid w:val="0"/>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noWrap/>
            <w:vAlign w:val="center"/>
          </w:tcPr>
          <w:p>
            <w:pPr>
              <w:adjustRightInd w:val="0"/>
              <w:snapToGrid w:val="0"/>
              <w:jc w:val="center"/>
              <w:rPr>
                <w:sz w:val="24"/>
              </w:rPr>
            </w:pPr>
          </w:p>
        </w:tc>
        <w:tc>
          <w:tcPr>
            <w:tcW w:w="0" w:type="auto"/>
            <w:noWrap/>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c>
          <w:tcPr>
            <w:tcW w:w="0" w:type="auto"/>
            <w:noWrap/>
            <w:vAlign w:val="center"/>
          </w:tcPr>
          <w:p>
            <w:pPr>
              <w:adjustRightInd w:val="0"/>
              <w:snapToGrid w:val="0"/>
              <w:jc w:val="center"/>
              <w:rPr>
                <w:sz w:val="24"/>
              </w:rPr>
            </w:pPr>
          </w:p>
        </w:tc>
        <w:tc>
          <w:tcPr>
            <w:tcW w:w="0" w:type="auto"/>
            <w:noWrap/>
            <w:vAlign w:val="center"/>
          </w:tcPr>
          <w:p>
            <w:pPr>
              <w:adjustRightInd w:val="0"/>
              <w:snapToGrid w:val="0"/>
              <w:jc w:val="center"/>
              <w:rPr>
                <w:sz w:val="24"/>
              </w:rPr>
            </w:pPr>
          </w:p>
        </w:tc>
        <w:tc>
          <w:tcPr>
            <w:tcW w:w="0" w:type="auto"/>
            <w:vMerge w:val="continue"/>
            <w:vAlign w:val="center"/>
          </w:tcPr>
          <w:p>
            <w:pPr>
              <w:adjustRightInd w:val="0"/>
              <w:snapToGrid w:val="0"/>
              <w:jc w:val="center"/>
              <w:rPr>
                <w:sz w:val="24"/>
              </w:rPr>
            </w:pPr>
          </w:p>
        </w:tc>
      </w:tr>
    </w:tbl>
    <w:p>
      <w:pPr>
        <w:adjustRightInd w:val="0"/>
        <w:snapToGrid w:val="0"/>
        <w:spacing w:line="360" w:lineRule="auto"/>
        <w:ind w:firstLine="420" w:firstLineChars="200"/>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8A30E"/>
    <w:multiLevelType w:val="singleLevel"/>
    <w:tmpl w:val="9DB8A30E"/>
    <w:lvl w:ilvl="0" w:tentative="0">
      <w:start w:val="1"/>
      <w:numFmt w:val="decimal"/>
      <w:suff w:val="nothing"/>
      <w:lvlText w:val="%1、"/>
      <w:lvlJc w:val="left"/>
    </w:lvl>
  </w:abstractNum>
  <w:abstractNum w:abstractNumId="1">
    <w:nsid w:val="344B2848"/>
    <w:multiLevelType w:val="singleLevel"/>
    <w:tmpl w:val="344B2848"/>
    <w:lvl w:ilvl="0" w:tentative="0">
      <w:start w:val="1"/>
      <w:numFmt w:val="decimal"/>
      <w:suff w:val="nothing"/>
      <w:lvlText w:val="%1、"/>
      <w:lvlJc w:val="left"/>
      <w:pPr>
        <w:ind w:left="851" w:firstLine="0"/>
      </w:pPr>
    </w:lvl>
  </w:abstractNum>
  <w:abstractNum w:abstractNumId="2">
    <w:nsid w:val="5DF17DF4"/>
    <w:multiLevelType w:val="singleLevel"/>
    <w:tmpl w:val="5DF17DF4"/>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8"/>
    <w:rsid w:val="000169E5"/>
    <w:rsid w:val="00016B0B"/>
    <w:rsid w:val="00021B41"/>
    <w:rsid w:val="00027290"/>
    <w:rsid w:val="00040875"/>
    <w:rsid w:val="000A16C1"/>
    <w:rsid w:val="00107D21"/>
    <w:rsid w:val="00111043"/>
    <w:rsid w:val="001615EA"/>
    <w:rsid w:val="0018308C"/>
    <w:rsid w:val="001C3E93"/>
    <w:rsid w:val="001D0D1B"/>
    <w:rsid w:val="00202C11"/>
    <w:rsid w:val="0022038D"/>
    <w:rsid w:val="00236A63"/>
    <w:rsid w:val="00240C37"/>
    <w:rsid w:val="00260051"/>
    <w:rsid w:val="00262BF2"/>
    <w:rsid w:val="00286E7C"/>
    <w:rsid w:val="002B0E6D"/>
    <w:rsid w:val="002B5B40"/>
    <w:rsid w:val="002C2744"/>
    <w:rsid w:val="002C777E"/>
    <w:rsid w:val="002D5A44"/>
    <w:rsid w:val="002E7B11"/>
    <w:rsid w:val="002F1E8F"/>
    <w:rsid w:val="0030653C"/>
    <w:rsid w:val="00321E34"/>
    <w:rsid w:val="00325065"/>
    <w:rsid w:val="00355FE5"/>
    <w:rsid w:val="003B417F"/>
    <w:rsid w:val="003D7DD5"/>
    <w:rsid w:val="003F43CE"/>
    <w:rsid w:val="003F45C7"/>
    <w:rsid w:val="003F4865"/>
    <w:rsid w:val="00426B4C"/>
    <w:rsid w:val="00430BD2"/>
    <w:rsid w:val="00470865"/>
    <w:rsid w:val="00483BFF"/>
    <w:rsid w:val="004A6CAD"/>
    <w:rsid w:val="004F4462"/>
    <w:rsid w:val="005175DD"/>
    <w:rsid w:val="00560010"/>
    <w:rsid w:val="0056366F"/>
    <w:rsid w:val="005B6570"/>
    <w:rsid w:val="005C155D"/>
    <w:rsid w:val="005D19CA"/>
    <w:rsid w:val="005E5A7D"/>
    <w:rsid w:val="0063409D"/>
    <w:rsid w:val="00663BA4"/>
    <w:rsid w:val="00686188"/>
    <w:rsid w:val="00695DBA"/>
    <w:rsid w:val="006965E1"/>
    <w:rsid w:val="006C1EDF"/>
    <w:rsid w:val="006C5390"/>
    <w:rsid w:val="006F2CCF"/>
    <w:rsid w:val="00705024"/>
    <w:rsid w:val="00736108"/>
    <w:rsid w:val="007420F2"/>
    <w:rsid w:val="00745D84"/>
    <w:rsid w:val="00765A97"/>
    <w:rsid w:val="007911EE"/>
    <w:rsid w:val="007950A0"/>
    <w:rsid w:val="007A30D2"/>
    <w:rsid w:val="007A5D9D"/>
    <w:rsid w:val="007B0BC5"/>
    <w:rsid w:val="007D37A3"/>
    <w:rsid w:val="0080299B"/>
    <w:rsid w:val="008127DB"/>
    <w:rsid w:val="008217AB"/>
    <w:rsid w:val="008263B9"/>
    <w:rsid w:val="00836751"/>
    <w:rsid w:val="0086005D"/>
    <w:rsid w:val="00860C66"/>
    <w:rsid w:val="00861100"/>
    <w:rsid w:val="008C08D5"/>
    <w:rsid w:val="008C42DB"/>
    <w:rsid w:val="008D3DB7"/>
    <w:rsid w:val="0091112E"/>
    <w:rsid w:val="00921F8C"/>
    <w:rsid w:val="00970824"/>
    <w:rsid w:val="00972648"/>
    <w:rsid w:val="00975D7E"/>
    <w:rsid w:val="009806AF"/>
    <w:rsid w:val="00986119"/>
    <w:rsid w:val="009C2EF9"/>
    <w:rsid w:val="009C6AD6"/>
    <w:rsid w:val="009E7858"/>
    <w:rsid w:val="009E7CEE"/>
    <w:rsid w:val="00A22627"/>
    <w:rsid w:val="00A27731"/>
    <w:rsid w:val="00A51121"/>
    <w:rsid w:val="00A65B7C"/>
    <w:rsid w:val="00AA2092"/>
    <w:rsid w:val="00AC7A26"/>
    <w:rsid w:val="00B02FCC"/>
    <w:rsid w:val="00B50EDB"/>
    <w:rsid w:val="00B62017"/>
    <w:rsid w:val="00B67B13"/>
    <w:rsid w:val="00B80183"/>
    <w:rsid w:val="00B95836"/>
    <w:rsid w:val="00BB1D56"/>
    <w:rsid w:val="00BE5685"/>
    <w:rsid w:val="00BE7703"/>
    <w:rsid w:val="00BF748D"/>
    <w:rsid w:val="00C00B0E"/>
    <w:rsid w:val="00C028F3"/>
    <w:rsid w:val="00C22BD4"/>
    <w:rsid w:val="00C238DD"/>
    <w:rsid w:val="00C35F17"/>
    <w:rsid w:val="00C41A6A"/>
    <w:rsid w:val="00C62C18"/>
    <w:rsid w:val="00CC03A8"/>
    <w:rsid w:val="00D07DA0"/>
    <w:rsid w:val="00D36861"/>
    <w:rsid w:val="00DD7690"/>
    <w:rsid w:val="00DE728F"/>
    <w:rsid w:val="00E04C35"/>
    <w:rsid w:val="00E11478"/>
    <w:rsid w:val="00E35B25"/>
    <w:rsid w:val="00E40412"/>
    <w:rsid w:val="00E53E21"/>
    <w:rsid w:val="00E5478C"/>
    <w:rsid w:val="00EA11E4"/>
    <w:rsid w:val="00EA2995"/>
    <w:rsid w:val="00EB486F"/>
    <w:rsid w:val="00EB67D7"/>
    <w:rsid w:val="00EB6B11"/>
    <w:rsid w:val="00EB7BAF"/>
    <w:rsid w:val="00F007C8"/>
    <w:rsid w:val="00F01D02"/>
    <w:rsid w:val="00F17D79"/>
    <w:rsid w:val="00F3236C"/>
    <w:rsid w:val="00F60335"/>
    <w:rsid w:val="00F636CC"/>
    <w:rsid w:val="00F660B3"/>
    <w:rsid w:val="00F87748"/>
    <w:rsid w:val="00FC73D6"/>
    <w:rsid w:val="02402B57"/>
    <w:rsid w:val="02B301AB"/>
    <w:rsid w:val="0A2D6A32"/>
    <w:rsid w:val="0B0477EC"/>
    <w:rsid w:val="0C050825"/>
    <w:rsid w:val="0E2A478C"/>
    <w:rsid w:val="0FDA6AB9"/>
    <w:rsid w:val="12FC6CC1"/>
    <w:rsid w:val="15154BCB"/>
    <w:rsid w:val="1725413B"/>
    <w:rsid w:val="18787D05"/>
    <w:rsid w:val="1C322CFB"/>
    <w:rsid w:val="1DF636C6"/>
    <w:rsid w:val="1FE20D1C"/>
    <w:rsid w:val="230B3548"/>
    <w:rsid w:val="27E71885"/>
    <w:rsid w:val="2CC22E30"/>
    <w:rsid w:val="2FD91F27"/>
    <w:rsid w:val="373D21C7"/>
    <w:rsid w:val="38E454EE"/>
    <w:rsid w:val="3C266530"/>
    <w:rsid w:val="3CC20C3E"/>
    <w:rsid w:val="42A002BA"/>
    <w:rsid w:val="439366BC"/>
    <w:rsid w:val="495D35F3"/>
    <w:rsid w:val="4A671631"/>
    <w:rsid w:val="506C7C02"/>
    <w:rsid w:val="51236695"/>
    <w:rsid w:val="6160559F"/>
    <w:rsid w:val="62276F57"/>
    <w:rsid w:val="669E08B9"/>
    <w:rsid w:val="6A9E44CA"/>
    <w:rsid w:val="6AAC6604"/>
    <w:rsid w:val="6C29172B"/>
    <w:rsid w:val="6E1F4C4D"/>
    <w:rsid w:val="6FC620BF"/>
    <w:rsid w:val="7AB327C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Date"/>
    <w:basedOn w:val="1"/>
    <w:next w:val="1"/>
    <w:link w:val="22"/>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table" w:customStyle="1" w:styleId="15">
    <w:name w:val="Table-temp-blank"/>
    <w:basedOn w:val="10"/>
    <w:qFormat/>
    <w:uiPriority w:val="99"/>
    <w:pPr>
      <w:jc w:val="center"/>
    </w:pPr>
    <w:rPr>
      <w:rFonts w:eastAsia="微软雅黑"/>
      <w:color w:val="3F3F3F"/>
      <w:sz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FFFFFF"/>
    </w:tcPr>
    <w:tblStylePr w:type="firstRow">
      <w:tcPr>
        <w:shd w:val="clear" w:color="auto" w:fill="F1F1F1"/>
      </w:tcPr>
    </w:tblStylePr>
  </w:style>
  <w:style w:type="table" w:customStyle="1" w:styleId="16">
    <w:name w:val="Table-temp"/>
    <w:basedOn w:val="10"/>
    <w:qFormat/>
    <w:uiPriority w:val="99"/>
    <w:pPr>
      <w:jc w:val="both"/>
    </w:pPr>
    <w:rPr>
      <w:rFonts w:ascii="宋体" w:hAnsi="宋体" w:cs="宋体"/>
      <w:color w:val="3F3F3F"/>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color w:val="7E7E7E"/>
      </w:rPr>
      <w:tcPr>
        <w:shd w:val="clear" w:color="auto" w:fill="F1F1F1"/>
      </w:tcPr>
    </w:tblStylePr>
    <w:tblStylePr w:type="firstCol">
      <w:rPr>
        <w:color w:val="7E7E7E"/>
      </w:rPr>
      <w:tcPr>
        <w:shd w:val="clear" w:color="auto" w:fill="F1F1F1"/>
      </w:tcPr>
    </w:tblStylePr>
  </w:style>
  <w:style w:type="character" w:customStyle="1" w:styleId="17">
    <w:name w:val="批注框文本字符"/>
    <w:basedOn w:val="12"/>
    <w:link w:val="5"/>
    <w:qFormat/>
    <w:uiPriority w:val="0"/>
    <w:rPr>
      <w:rFonts w:asciiTheme="minorHAnsi" w:hAnsiTheme="minorHAnsi" w:eastAsiaTheme="minorEastAsia" w:cstheme="minorBidi"/>
      <w:kern w:val="2"/>
      <w:sz w:val="18"/>
      <w:szCs w:val="18"/>
    </w:rPr>
  </w:style>
  <w:style w:type="character" w:customStyle="1" w:styleId="18">
    <w:name w:val="页眉字符"/>
    <w:basedOn w:val="12"/>
    <w:link w:val="7"/>
    <w:qFormat/>
    <w:uiPriority w:val="0"/>
    <w:rPr>
      <w:rFonts w:asciiTheme="minorHAnsi" w:hAnsiTheme="minorHAnsi" w:eastAsiaTheme="minorEastAsia" w:cstheme="minorBidi"/>
      <w:kern w:val="2"/>
      <w:sz w:val="18"/>
      <w:szCs w:val="18"/>
    </w:rPr>
  </w:style>
  <w:style w:type="character" w:customStyle="1" w:styleId="19">
    <w:name w:val="页脚字符"/>
    <w:basedOn w:val="12"/>
    <w:link w:val="6"/>
    <w:qFormat/>
    <w:uiPriority w:val="0"/>
    <w:rPr>
      <w:rFonts w:asciiTheme="minorHAnsi" w:hAnsiTheme="minorHAnsi" w:eastAsiaTheme="minorEastAsia" w:cstheme="minorBidi"/>
      <w:kern w:val="2"/>
      <w:sz w:val="18"/>
      <w:szCs w:val="18"/>
    </w:rPr>
  </w:style>
  <w:style w:type="character" w:customStyle="1" w:styleId="20">
    <w:name w:val="批注文字字符"/>
    <w:basedOn w:val="12"/>
    <w:link w:val="3"/>
    <w:qFormat/>
    <w:uiPriority w:val="0"/>
    <w:rPr>
      <w:rFonts w:asciiTheme="minorHAnsi" w:hAnsiTheme="minorHAnsi" w:eastAsiaTheme="minorEastAsia" w:cstheme="minorBidi"/>
      <w:kern w:val="2"/>
      <w:sz w:val="21"/>
      <w:szCs w:val="24"/>
    </w:rPr>
  </w:style>
  <w:style w:type="character" w:customStyle="1" w:styleId="21">
    <w:name w:val="批注主题字符"/>
    <w:basedOn w:val="20"/>
    <w:link w:val="9"/>
    <w:qFormat/>
    <w:uiPriority w:val="0"/>
    <w:rPr>
      <w:rFonts w:asciiTheme="minorHAnsi" w:hAnsiTheme="minorHAnsi" w:eastAsiaTheme="minorEastAsia" w:cstheme="minorBidi"/>
      <w:b/>
      <w:bCs/>
      <w:kern w:val="2"/>
      <w:sz w:val="21"/>
      <w:szCs w:val="24"/>
    </w:rPr>
  </w:style>
  <w:style w:type="character" w:customStyle="1" w:styleId="22">
    <w:name w:val="日期字符"/>
    <w:basedOn w:val="12"/>
    <w:link w:val="4"/>
    <w:qFormat/>
    <w:uiPriority w:val="0"/>
    <w:rPr>
      <w:kern w:val="2"/>
      <w:sz w:val="21"/>
      <w:szCs w:val="24"/>
    </w:rPr>
  </w:style>
  <w:style w:type="paragraph" w:styleId="23">
    <w:name w:val="List Paragraph"/>
    <w:basedOn w:val="1"/>
    <w:qFormat/>
    <w:uiPriority w:val="99"/>
    <w:pPr>
      <w:ind w:firstLine="420" w:firstLineChars="200"/>
    </w:pPr>
  </w:style>
  <w:style w:type="paragraph" w:customStyle="1" w:styleId="24">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1610</Words>
  <Characters>9177</Characters>
  <Lines>76</Lines>
  <Paragraphs>21</Paragraphs>
  <TotalTime>202</TotalTime>
  <ScaleCrop>false</ScaleCrop>
  <LinksUpToDate>false</LinksUpToDate>
  <CharactersWithSpaces>10766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2019-11-03T13:05:00Z</dcterms:created>
  <dc:creator>dell</dc:creator>
  <cp:lastModifiedBy>蔡圆</cp:lastModifiedBy>
  <dcterms:modified xsi:type="dcterms:W3CDTF">2020-05-13T10:18:25Z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