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261" w:rsidRPr="006633CA" w:rsidRDefault="00CD4261" w:rsidP="00CD4261">
      <w:pPr>
        <w:spacing w:line="560" w:lineRule="exact"/>
        <w:jc w:val="center"/>
        <w:rPr>
          <w:rFonts w:ascii="仿宋" w:eastAsia="仿宋" w:hAnsi="仿宋" w:cs="宋体"/>
          <w:b/>
          <w:kern w:val="36"/>
          <w:sz w:val="36"/>
          <w:szCs w:val="28"/>
        </w:rPr>
      </w:pPr>
      <w:r w:rsidRPr="008F1233">
        <w:rPr>
          <w:rFonts w:ascii="仿宋" w:eastAsia="仿宋" w:hAnsi="仿宋" w:cs="宋体" w:hint="eastAsia"/>
          <w:b/>
          <w:kern w:val="36"/>
          <w:sz w:val="36"/>
          <w:szCs w:val="28"/>
        </w:rPr>
        <w:t>转发</w:t>
      </w:r>
      <w:r w:rsidRPr="008F227E">
        <w:rPr>
          <w:rFonts w:ascii="仿宋" w:eastAsia="仿宋" w:hAnsi="仿宋" w:cs="宋体" w:hint="eastAsia"/>
          <w:b/>
          <w:kern w:val="36"/>
          <w:sz w:val="36"/>
          <w:szCs w:val="28"/>
        </w:rPr>
        <w:t>国家自然科学基金委员会</w:t>
      </w:r>
      <w:r w:rsidRPr="00CD4261">
        <w:rPr>
          <w:rFonts w:ascii="仿宋" w:eastAsia="仿宋" w:hAnsi="仿宋" w:cs="宋体" w:hint="eastAsia"/>
          <w:b/>
          <w:kern w:val="36"/>
          <w:sz w:val="36"/>
          <w:szCs w:val="28"/>
        </w:rPr>
        <w:t>医学科学部关于征集“基础科学中心项目”立项建议的通告</w:t>
      </w:r>
    </w:p>
    <w:p w:rsidR="00CD4261" w:rsidRPr="006633CA" w:rsidRDefault="00CD4261" w:rsidP="00CD4261">
      <w:pPr>
        <w:spacing w:line="560" w:lineRule="exact"/>
        <w:rPr>
          <w:rFonts w:ascii="仿宋" w:eastAsia="仿宋" w:hAnsi="仿宋" w:cs="宋体"/>
          <w:kern w:val="36"/>
          <w:sz w:val="28"/>
          <w:szCs w:val="28"/>
        </w:rPr>
      </w:pPr>
    </w:p>
    <w:p w:rsidR="00CD4261" w:rsidRPr="0020599A" w:rsidRDefault="00CD4261" w:rsidP="00CD4261">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CD4261" w:rsidRPr="0020599A" w:rsidRDefault="00CD4261" w:rsidP="00CD4261">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Pr="002F6F31">
        <w:rPr>
          <w:rFonts w:ascii="仿宋" w:eastAsia="仿宋" w:hAnsi="仿宋" w:cs="宋体" w:hint="eastAsia"/>
          <w:color w:val="000000"/>
          <w:kern w:val="0"/>
          <w:sz w:val="28"/>
          <w:szCs w:val="28"/>
        </w:rPr>
        <w:t>《</w:t>
      </w:r>
      <w:r w:rsidRPr="00CD4261">
        <w:rPr>
          <w:rFonts w:ascii="仿宋" w:eastAsia="仿宋" w:hAnsi="仿宋" w:cs="宋体" w:hint="eastAsia"/>
          <w:color w:val="000000"/>
          <w:kern w:val="0"/>
          <w:sz w:val="28"/>
          <w:szCs w:val="28"/>
        </w:rPr>
        <w:t>医学科学部关于征集“基础科学中心项目”立项建议的通告</w:t>
      </w:r>
      <w:r w:rsidRPr="0020599A">
        <w:rPr>
          <w:rFonts w:ascii="仿宋" w:eastAsia="仿宋" w:hAnsi="仿宋" w:cs="宋体" w:hint="eastAsia"/>
          <w:color w:val="000000"/>
          <w:kern w:val="0"/>
          <w:sz w:val="28"/>
          <w:szCs w:val="28"/>
        </w:rPr>
        <w:t>》</w:t>
      </w:r>
      <w:r>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申请人</w:t>
      </w:r>
      <w:r w:rsidRPr="0020599A">
        <w:rPr>
          <w:rFonts w:ascii="仿宋" w:eastAsia="仿宋" w:hAnsi="仿宋" w:cs="宋体" w:hint="eastAsia"/>
          <w:color w:val="000000"/>
          <w:kern w:val="0"/>
          <w:sz w:val="28"/>
          <w:szCs w:val="28"/>
        </w:rPr>
        <w:t>请在</w:t>
      </w:r>
      <w:r w:rsidRPr="00383FD7">
        <w:rPr>
          <w:rFonts w:ascii="仿宋" w:eastAsia="仿宋" w:hAnsi="仿宋" w:cs="宋体" w:hint="eastAsia"/>
          <w:b/>
          <w:color w:val="000000"/>
          <w:kern w:val="0"/>
          <w:sz w:val="28"/>
          <w:szCs w:val="28"/>
          <w:u w:val="single"/>
        </w:rPr>
        <w:t>201</w:t>
      </w:r>
      <w:r>
        <w:rPr>
          <w:rFonts w:ascii="仿宋" w:eastAsia="仿宋" w:hAnsi="仿宋" w:cs="宋体" w:hint="eastAsia"/>
          <w:b/>
          <w:color w:val="000000"/>
          <w:kern w:val="0"/>
          <w:sz w:val="28"/>
          <w:szCs w:val="28"/>
          <w:u w:val="single"/>
        </w:rPr>
        <w:t>7</w:t>
      </w:r>
      <w:r w:rsidRPr="00383FD7">
        <w:rPr>
          <w:rFonts w:ascii="仿宋" w:eastAsia="仿宋" w:hAnsi="仿宋" w:cs="宋体" w:hint="eastAsia"/>
          <w:b/>
          <w:color w:val="000000"/>
          <w:kern w:val="0"/>
          <w:sz w:val="28"/>
          <w:szCs w:val="28"/>
          <w:u w:val="single"/>
        </w:rPr>
        <w:t>年</w:t>
      </w:r>
      <w:r>
        <w:rPr>
          <w:rFonts w:ascii="仿宋" w:eastAsia="仿宋" w:hAnsi="仿宋" w:cs="宋体"/>
          <w:b/>
          <w:color w:val="000000"/>
          <w:kern w:val="0"/>
          <w:sz w:val="28"/>
          <w:szCs w:val="28"/>
          <w:u w:val="single"/>
        </w:rPr>
        <w:t>3</w:t>
      </w:r>
      <w:r w:rsidRPr="00383FD7">
        <w:rPr>
          <w:rFonts w:ascii="仿宋" w:eastAsia="仿宋" w:hAnsi="仿宋" w:cs="宋体" w:hint="eastAsia"/>
          <w:b/>
          <w:color w:val="000000"/>
          <w:kern w:val="0"/>
          <w:sz w:val="28"/>
          <w:szCs w:val="28"/>
          <w:u w:val="single"/>
        </w:rPr>
        <w:t>月</w:t>
      </w:r>
      <w:r>
        <w:rPr>
          <w:rFonts w:ascii="仿宋" w:eastAsia="仿宋" w:hAnsi="仿宋" w:cs="宋体" w:hint="eastAsia"/>
          <w:b/>
          <w:color w:val="000000"/>
          <w:kern w:val="0"/>
          <w:sz w:val="28"/>
          <w:szCs w:val="28"/>
          <w:u w:val="single"/>
        </w:rPr>
        <w:t>25</w:t>
      </w:r>
      <w:r w:rsidRPr="00383FD7">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把申报意愿通过email告知科研院联系人。</w:t>
      </w:r>
      <w:r>
        <w:rPr>
          <w:rFonts w:ascii="仿宋" w:eastAsia="仿宋" w:hAnsi="仿宋" w:cs="宋体" w:hint="eastAsia"/>
          <w:color w:val="000000"/>
          <w:kern w:val="0"/>
          <w:sz w:val="28"/>
          <w:szCs w:val="28"/>
        </w:rPr>
        <w:t>电子版word与纸质版立项建议书请于</w:t>
      </w:r>
      <w:r w:rsidRPr="00252331">
        <w:rPr>
          <w:rFonts w:ascii="仿宋" w:eastAsia="仿宋" w:hAnsi="仿宋" w:cs="宋体" w:hint="eastAsia"/>
          <w:b/>
          <w:color w:val="000000"/>
          <w:kern w:val="0"/>
          <w:sz w:val="28"/>
          <w:szCs w:val="28"/>
          <w:u w:val="single"/>
        </w:rPr>
        <w:t>201</w:t>
      </w:r>
      <w:r>
        <w:rPr>
          <w:rFonts w:ascii="仿宋" w:eastAsia="仿宋" w:hAnsi="仿宋" w:cs="宋体" w:hint="eastAsia"/>
          <w:b/>
          <w:color w:val="000000"/>
          <w:kern w:val="0"/>
          <w:sz w:val="28"/>
          <w:szCs w:val="28"/>
          <w:u w:val="single"/>
        </w:rPr>
        <w:t>7</w:t>
      </w:r>
      <w:r w:rsidRPr="00252331">
        <w:rPr>
          <w:rFonts w:ascii="仿宋" w:eastAsia="仿宋" w:hAnsi="仿宋" w:cs="宋体" w:hint="eastAsia"/>
          <w:b/>
          <w:color w:val="000000"/>
          <w:kern w:val="0"/>
          <w:sz w:val="28"/>
          <w:szCs w:val="28"/>
          <w:u w:val="single"/>
        </w:rPr>
        <w:t>年</w:t>
      </w:r>
      <w:r>
        <w:rPr>
          <w:rFonts w:ascii="仿宋" w:eastAsia="仿宋" w:hAnsi="仿宋" w:cs="宋体" w:hint="eastAsia"/>
          <w:b/>
          <w:color w:val="000000"/>
          <w:kern w:val="0"/>
          <w:sz w:val="28"/>
          <w:szCs w:val="28"/>
          <w:u w:val="single"/>
        </w:rPr>
        <w:t>4</w:t>
      </w:r>
      <w:r w:rsidRPr="00252331">
        <w:rPr>
          <w:rFonts w:ascii="仿宋" w:eastAsia="仿宋" w:hAnsi="仿宋" w:cs="宋体" w:hint="eastAsia"/>
          <w:b/>
          <w:color w:val="000000"/>
          <w:kern w:val="0"/>
          <w:sz w:val="28"/>
          <w:szCs w:val="28"/>
          <w:u w:val="single"/>
        </w:rPr>
        <w:t>月</w:t>
      </w:r>
      <w:r>
        <w:rPr>
          <w:rFonts w:ascii="仿宋" w:eastAsia="仿宋" w:hAnsi="仿宋" w:cs="宋体" w:hint="eastAsia"/>
          <w:b/>
          <w:color w:val="000000"/>
          <w:kern w:val="0"/>
          <w:sz w:val="28"/>
          <w:szCs w:val="28"/>
          <w:u w:val="single"/>
        </w:rPr>
        <w:t>6</w:t>
      </w:r>
      <w:r w:rsidRPr="00252331">
        <w:rPr>
          <w:rFonts w:ascii="仿宋" w:eastAsia="仿宋" w:hAnsi="仿宋" w:cs="宋体" w:hint="eastAsia"/>
          <w:b/>
          <w:color w:val="000000"/>
          <w:kern w:val="0"/>
          <w:sz w:val="28"/>
          <w:szCs w:val="28"/>
          <w:u w:val="single"/>
        </w:rPr>
        <w:t>日</w:t>
      </w:r>
      <w:r>
        <w:rPr>
          <w:rFonts w:ascii="仿宋" w:eastAsia="仿宋" w:hAnsi="仿宋" w:cs="宋体" w:hint="eastAsia"/>
          <w:b/>
          <w:color w:val="000000"/>
          <w:kern w:val="0"/>
          <w:sz w:val="28"/>
          <w:szCs w:val="28"/>
          <w:u w:val="single"/>
        </w:rPr>
        <w:t>前</w:t>
      </w:r>
      <w:r w:rsidRPr="0020599A">
        <w:rPr>
          <w:rFonts w:ascii="仿宋" w:eastAsia="仿宋" w:hAnsi="仿宋" w:cs="宋体" w:hint="eastAsia"/>
          <w:color w:val="000000"/>
          <w:kern w:val="0"/>
          <w:sz w:val="28"/>
          <w:szCs w:val="28"/>
        </w:rPr>
        <w:t>交科研院基础处。</w:t>
      </w:r>
    </w:p>
    <w:p w:rsidR="00CD4261" w:rsidRPr="0020599A" w:rsidRDefault="00CD4261" w:rsidP="00CD4261">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联 系 人：</w:t>
      </w:r>
      <w:r>
        <w:rPr>
          <w:rFonts w:ascii="仿宋" w:eastAsia="仿宋" w:hAnsi="仿宋" w:cs="宋体" w:hint="eastAsia"/>
          <w:color w:val="000000"/>
          <w:kern w:val="0"/>
          <w:sz w:val="28"/>
          <w:szCs w:val="28"/>
        </w:rPr>
        <w:t>理工科:王晓松，范丹琳，8</w:t>
      </w:r>
      <w:r w:rsidRPr="0020599A">
        <w:rPr>
          <w:rFonts w:ascii="仿宋" w:eastAsia="仿宋" w:hAnsi="仿宋" w:cs="宋体" w:hint="eastAsia"/>
          <w:color w:val="000000"/>
          <w:kern w:val="0"/>
          <w:sz w:val="28"/>
          <w:szCs w:val="28"/>
        </w:rPr>
        <w:t>4111595</w:t>
      </w:r>
      <w:r w:rsidRPr="0020599A">
        <w:rPr>
          <w:rFonts w:ascii="宋体" w:eastAsia="宋体" w:hAnsi="宋体" w:cs="宋体" w:hint="eastAsia"/>
          <w:color w:val="000000"/>
          <w:kern w:val="0"/>
          <w:sz w:val="28"/>
          <w:szCs w:val="28"/>
        </w:rPr>
        <w:t> </w:t>
      </w:r>
    </w:p>
    <w:p w:rsidR="00CD4261" w:rsidRPr="0020599A" w:rsidRDefault="00CD4261" w:rsidP="00CD4261">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w:t>
      </w:r>
      <w:proofErr w:type="gramStart"/>
      <w:r>
        <w:rPr>
          <w:rFonts w:ascii="仿宋" w:eastAsia="仿宋" w:hAnsi="仿宋" w:cs="宋体" w:hint="eastAsia"/>
          <w:color w:val="000000"/>
          <w:kern w:val="0"/>
          <w:sz w:val="28"/>
          <w:szCs w:val="28"/>
        </w:rPr>
        <w:t>医</w:t>
      </w:r>
      <w:proofErr w:type="gramEnd"/>
      <w:r>
        <w:rPr>
          <w:rFonts w:ascii="仿宋" w:eastAsia="仿宋" w:hAnsi="仿宋" w:cs="宋体" w:hint="eastAsia"/>
          <w:color w:val="000000"/>
          <w:kern w:val="0"/>
          <w:sz w:val="28"/>
          <w:szCs w:val="28"/>
        </w:rPr>
        <w:t xml:space="preserve">  科:蔡南乔，84115962</w:t>
      </w:r>
    </w:p>
    <w:p w:rsidR="00CD4261" w:rsidRDefault="00CD4261" w:rsidP="00CD4261">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Pr>
          <w:rFonts w:ascii="仿宋" w:eastAsia="仿宋" w:hAnsi="仿宋" w:cs="宋体" w:hint="eastAsia"/>
          <w:color w:val="000000"/>
          <w:kern w:val="0"/>
          <w:sz w:val="28"/>
          <w:szCs w:val="28"/>
          <w:shd w:val="clear" w:color="auto" w:fill="FFFFFF"/>
        </w:rPr>
        <w:t>fandl3</w:t>
      </w:r>
      <w:r w:rsidRPr="008A7C58">
        <w:rPr>
          <w:rFonts w:ascii="仿宋" w:eastAsia="仿宋" w:hAnsi="仿宋" w:cs="宋体" w:hint="eastAsia"/>
          <w:color w:val="000000"/>
          <w:kern w:val="0"/>
          <w:sz w:val="28"/>
          <w:szCs w:val="28"/>
          <w:shd w:val="clear" w:color="auto" w:fill="FFFFFF"/>
        </w:rPr>
        <w:t>@mail.sysu.edu.cn</w:t>
      </w:r>
    </w:p>
    <w:p w:rsidR="00CD4261" w:rsidRPr="006633CA" w:rsidRDefault="00CD4261" w:rsidP="00CD4261">
      <w:pPr>
        <w:spacing w:line="560" w:lineRule="exact"/>
        <w:rPr>
          <w:rFonts w:ascii="仿宋" w:eastAsia="仿宋" w:hAnsi="仿宋"/>
          <w:sz w:val="28"/>
          <w:szCs w:val="28"/>
        </w:rPr>
      </w:pPr>
      <w:r>
        <w:rPr>
          <w:rFonts w:ascii="仿宋" w:eastAsia="仿宋" w:hAnsi="仿宋" w:cs="宋体" w:hint="eastAsia"/>
          <w:color w:val="000000"/>
          <w:kern w:val="0"/>
          <w:sz w:val="28"/>
          <w:szCs w:val="28"/>
          <w:shd w:val="clear" w:color="auto" w:fill="FFFFFF"/>
        </w:rPr>
        <w:t xml:space="preserve">              cainq3@mail.sysu.edu.cn</w:t>
      </w:r>
    </w:p>
    <w:p w:rsidR="00CD4261" w:rsidRPr="006633CA" w:rsidRDefault="00CD4261" w:rsidP="00CD4261">
      <w:pPr>
        <w:spacing w:line="560" w:lineRule="exact"/>
        <w:rPr>
          <w:rFonts w:ascii="仿宋" w:eastAsia="仿宋" w:hAnsi="仿宋"/>
          <w:sz w:val="28"/>
          <w:szCs w:val="28"/>
        </w:rPr>
      </w:pPr>
    </w:p>
    <w:p w:rsidR="00CD4261" w:rsidRPr="006633CA" w:rsidRDefault="00CD4261" w:rsidP="00CD4261">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CD4261" w:rsidRPr="006633CA" w:rsidRDefault="00CD4261" w:rsidP="00CD4261">
      <w:pPr>
        <w:spacing w:line="560" w:lineRule="exact"/>
        <w:jc w:val="right"/>
        <w:rPr>
          <w:rFonts w:ascii="仿宋" w:eastAsia="仿宋" w:hAnsi="仿宋"/>
          <w:sz w:val="28"/>
          <w:szCs w:val="28"/>
        </w:rPr>
      </w:pPr>
      <w:r w:rsidRPr="006633CA">
        <w:rPr>
          <w:rFonts w:ascii="仿宋" w:eastAsia="仿宋" w:hAnsi="仿宋" w:hint="eastAsia"/>
          <w:sz w:val="28"/>
          <w:szCs w:val="28"/>
        </w:rPr>
        <w:t>201</w:t>
      </w:r>
      <w:r>
        <w:rPr>
          <w:rFonts w:ascii="仿宋" w:eastAsia="仿宋" w:hAnsi="仿宋" w:hint="eastAsia"/>
          <w:sz w:val="28"/>
          <w:szCs w:val="28"/>
        </w:rPr>
        <w:t>7</w:t>
      </w:r>
      <w:r w:rsidRPr="006633CA">
        <w:rPr>
          <w:rFonts w:ascii="仿宋" w:eastAsia="仿宋" w:hAnsi="仿宋" w:hint="eastAsia"/>
          <w:sz w:val="28"/>
          <w:szCs w:val="28"/>
        </w:rPr>
        <w:t>年</w:t>
      </w:r>
      <w:r>
        <w:rPr>
          <w:rFonts w:ascii="仿宋" w:eastAsia="仿宋" w:hAnsi="仿宋" w:hint="eastAsia"/>
          <w:sz w:val="28"/>
          <w:szCs w:val="28"/>
        </w:rPr>
        <w:t>3</w:t>
      </w:r>
      <w:r w:rsidRPr="006633CA">
        <w:rPr>
          <w:rFonts w:ascii="仿宋" w:eastAsia="仿宋" w:hAnsi="仿宋" w:hint="eastAsia"/>
          <w:sz w:val="28"/>
          <w:szCs w:val="28"/>
        </w:rPr>
        <w:t>月</w:t>
      </w:r>
      <w:r>
        <w:rPr>
          <w:rFonts w:ascii="仿宋" w:eastAsia="仿宋" w:hAnsi="仿宋"/>
          <w:sz w:val="28"/>
          <w:szCs w:val="28"/>
        </w:rPr>
        <w:t>1</w:t>
      </w:r>
      <w:r>
        <w:rPr>
          <w:rFonts w:ascii="仿宋" w:eastAsia="仿宋" w:hAnsi="仿宋" w:hint="eastAsia"/>
          <w:sz w:val="28"/>
          <w:szCs w:val="28"/>
        </w:rPr>
        <w:t>13</w:t>
      </w:r>
      <w:r w:rsidRPr="006633CA">
        <w:rPr>
          <w:rFonts w:ascii="仿宋" w:eastAsia="仿宋" w:hAnsi="仿宋" w:hint="eastAsia"/>
          <w:sz w:val="28"/>
          <w:szCs w:val="28"/>
        </w:rPr>
        <w:t>日</w:t>
      </w:r>
    </w:p>
    <w:p w:rsidR="00CD4261" w:rsidRPr="006633CA" w:rsidRDefault="00CD4261" w:rsidP="00CD4261">
      <w:pPr>
        <w:spacing w:line="560" w:lineRule="exact"/>
        <w:rPr>
          <w:rFonts w:ascii="仿宋" w:eastAsia="仿宋" w:hAnsi="仿宋"/>
          <w:sz w:val="28"/>
          <w:szCs w:val="28"/>
        </w:rPr>
      </w:pPr>
    </w:p>
    <w:p w:rsidR="00CD4261" w:rsidRDefault="00CD4261" w:rsidP="00CD4261">
      <w:pPr>
        <w:widowControl/>
        <w:spacing w:line="360" w:lineRule="atLeast"/>
        <w:jc w:val="center"/>
        <w:outlineLvl w:val="0"/>
        <w:rPr>
          <w:rFonts w:ascii="宋体" w:eastAsia="宋体" w:hAnsi="宋体" w:cs="宋体" w:hint="eastAsia"/>
          <w:b/>
          <w:kern w:val="36"/>
          <w:szCs w:val="18"/>
        </w:rPr>
      </w:pPr>
    </w:p>
    <w:p w:rsidR="00CD4261" w:rsidRDefault="00CD4261" w:rsidP="00CD4261">
      <w:pPr>
        <w:widowControl/>
        <w:spacing w:line="360" w:lineRule="atLeast"/>
        <w:jc w:val="center"/>
        <w:outlineLvl w:val="0"/>
        <w:rPr>
          <w:rFonts w:ascii="宋体" w:eastAsia="宋体" w:hAnsi="宋体" w:cs="宋体" w:hint="eastAsia"/>
          <w:b/>
          <w:kern w:val="36"/>
          <w:szCs w:val="18"/>
        </w:rPr>
      </w:pPr>
    </w:p>
    <w:p w:rsidR="00CD4261" w:rsidRPr="00CD4261" w:rsidRDefault="00CD4261" w:rsidP="00922E25">
      <w:pPr>
        <w:rPr>
          <w:rFonts w:ascii="仿宋" w:eastAsia="仿宋" w:hAnsi="仿宋" w:hint="eastAsia"/>
          <w:b/>
          <w:sz w:val="28"/>
          <w:szCs w:val="28"/>
        </w:rPr>
      </w:pPr>
      <w:r w:rsidRPr="00922E25">
        <w:rPr>
          <w:rFonts w:ascii="仿宋" w:eastAsia="仿宋" w:hAnsi="仿宋" w:hint="eastAsia"/>
          <w:b/>
          <w:sz w:val="28"/>
          <w:szCs w:val="28"/>
        </w:rPr>
        <w:t>附件：</w:t>
      </w:r>
      <w:bookmarkStart w:id="0" w:name="_GoBack"/>
      <w:r w:rsidRPr="00CD4261">
        <w:rPr>
          <w:rFonts w:ascii="仿宋" w:eastAsia="仿宋" w:hAnsi="仿宋" w:hint="eastAsia"/>
          <w:b/>
          <w:sz w:val="28"/>
          <w:szCs w:val="28"/>
        </w:rPr>
        <w:t>医学科学部关于征集“基础科学中心项目”立项建议的通告</w:t>
      </w:r>
      <w:bookmarkEnd w:id="0"/>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为建设创新型国家和科技强国，进一步贯彻落实创新驱动发展战略，按照中央财政科技计划管理改革方案对科学基金的工作定位以及“聚焦前沿、突出交叉”的要求，国家自然科学基金委员会从2016年开始试点资助“国家自然科学基金基础科学中心项目”（以下简称基础科学中心项目）。2016年度基金委共资助3项。医学科学部为了</w:t>
      </w:r>
      <w:r w:rsidRPr="00CD4261">
        <w:rPr>
          <w:rFonts w:ascii="仿宋" w:eastAsia="仿宋" w:hAnsi="仿宋" w:hint="eastAsia"/>
          <w:sz w:val="28"/>
          <w:szCs w:val="28"/>
        </w:rPr>
        <w:lastRenderedPageBreak/>
        <w:t>做好2017年度“基础科学中心项目”的组织工作，特公开征集立项建议。</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一、 定位与实施原则</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（一） 定位</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基础科学中心项目旨在集中和整合国内优势科研资源，瞄准国际科学前沿，超前部署，充分发挥科学基金制的优势和特色，依靠高水平学术带头人，吸引和凝聚国内外优秀科技人才，着力推动学科深度交叉融合，相对长期稳定地支持科研人员潜心研究和探索，致力科学前沿突破，产出一批国际领先水平的原创成果，抢占国际科学发展的制高点，形成若干具有重要国际影响的学术高地。</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（二） 实施原则</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基础科学中心项目的实施遵循“原创导向、交叉融合、开放合作、稳定支持、动态调整”的原则。</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1.原创导向原则。强调原创价值导向，鼓励十年磨一剑的潜心研究，孕育多元化的创新思想，营造竞争合作、攻坚克难、宽容失败、包容多元的原创氛围。</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2.交叉融合原则。打破学科壁垒，强化学科深度交叉融合，聚集多学科优势团队，开展深入系统的跨学科、跨领域的交叉融合研究。</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3.开放合作原则。拓展国际视野，充分利用外部资源，吸引国内外高水平科学家，特别是优秀青年学者前来工作，冲击国际科学前沿。</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4.稳定支持原则。基础科学中心项目设定资助期限最长为10年，给予相对稳定和较高强度资助。</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lastRenderedPageBreak/>
        <w:t xml:space="preserve">　　5.动态调整原则。控制总体规模，实行延续支持与退出相结合的机制。在实施5年后进行评估，根据实施情况决定是否予以延续支持。</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二、资助规模与资助周期强度</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基础科学中心项目资助周期采取5+5模式。实施5年后进行评估，采取对同时启动的基础科学中心项目统一组织评估的方式。根据基础科学中心项目的特点和实际需求，5年资助经费为1-2亿。</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三、申请条件与工作程序</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（一）申请条件</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1.基础科学中心项目应当在科学前沿领域形成优秀的多学科交叉科研团队。其学术带头人应当是本领域国际知名科学家，具有较高的学术水平和宏观把握能力、较强的组织协调能力和凝聚力，能够汇聚不同学科背景的优秀科研人员组成跨学科研究团队；基础科学中心项目的骨干成员应当在相关的科学研究领域中取得过出色的研究成果并具有持续发展的潜力。</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2.基础科学中心项目拟开展的研究应当具有原创性、前瞻性和交叉性；研究方案应当先进、合理；总体目标应当在本领域国际学术前沿起到引领作用或者是开创新领域，有望通过5-10年的支持形成具有重要国际影响能引领学科发展方向的学术高地。</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3.基础科学中心项目的依托单位应当具有完备的科研支撑条件和完善的科研管理制度，应当将基础科学中心项目纳入本单位的重点管理范畴，并承诺保障基础科学中心项目所需要的研究工作条件，对前来从事合作研究和学术交流的国内外优秀科学家提供薪酬待遇及</w:t>
      </w:r>
      <w:r w:rsidRPr="00CD4261">
        <w:rPr>
          <w:rFonts w:ascii="仿宋" w:eastAsia="仿宋" w:hAnsi="仿宋" w:hint="eastAsia"/>
          <w:sz w:val="28"/>
          <w:szCs w:val="28"/>
        </w:rPr>
        <w:lastRenderedPageBreak/>
        <w:t>科研条件保障。</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（二）工作程序</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在试点实施阶段，采用科学部推荐申请的方式。2017年每个科学部经专家咨询委员会差额遴选后推荐1个基础科学中心项目。申请人年龄不得超过60岁，骨干成员以中青年科学家为主。申请人及骨干成员合计不得超过10人，依托单位及合作单位数量合计不得超过4个。</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基础科学中心项目申请人通过依托单位提出项目申请。</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基础科学中心项目申请时不纳入限项范围，获得批准后将在国家自然科学基金委员会网站公布，项目负责人及骨干成员不得再申请其他类型的国家自然科学基金项目（国家杰出青年科学基金项目除外），不得以获得资助的基础科学中心项目的研究内容再申请其他科技计划项目。</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四、立项建议书的撰写提纲</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（一）基础科学中心项目的背景情况</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1.研究领域与方向；</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2.研究团队构成（申请人及骨干成员合计不得超过10人，依托单位及合作研究单位数量合计不得超过4个）；</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3.已取得的研究工作基础积累及水平，包括创新性研究成果、在国内外同行中的水平及优势；</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4.获得国家自然科学基金及其他科技计划的资助情况。</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（二）拟开展的研究工作</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lastRenderedPageBreak/>
        <w:t xml:space="preserve">　　1.主要研究方向、关键科学问题与研究内容，包括研究价值、创新点和科学意义；</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2.研究方案，包括合作研究单位的分工、学科交叉融合研究计划等；</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3.近五年的预期目标和可能取得的重大突破，以及十年的总体目标；</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4.开放合作计划。</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（三）支撑与保障条件</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1.具备的仪器设备及基础数据资料等；</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2.依托单位承诺的科研和待遇条件。</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（四）资金需求与预算</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五、提交建议书要求</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有意申请的单位请于2017年4月10日前向国家自然科学基金委员会医学科学部综合处提交立项建议书（请同时提交电子申请和加盖依托单位公章的纸质申请各一份）。</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联系人：韩立炜</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邮　箱: hanlw@nsfc.gov.cn</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电　话：010-62328552</w:t>
      </w:r>
    </w:p>
    <w:p w:rsidR="00CD4261" w:rsidRPr="00CD4261" w:rsidRDefault="00CD4261" w:rsidP="00922E25">
      <w:pPr>
        <w:rPr>
          <w:rFonts w:ascii="仿宋" w:eastAsia="仿宋" w:hAnsi="仿宋" w:hint="eastAsia"/>
          <w:sz w:val="28"/>
          <w:szCs w:val="28"/>
        </w:rPr>
      </w:pPr>
      <w:r w:rsidRPr="00CD4261">
        <w:rPr>
          <w:rFonts w:ascii="仿宋" w:eastAsia="仿宋" w:hAnsi="仿宋" w:hint="eastAsia"/>
          <w:sz w:val="28"/>
          <w:szCs w:val="28"/>
        </w:rPr>
        <w:t xml:space="preserve">　　通讯地址：北京市海淀区双清路83号 国家自然科学基金委员会医学科学部综合处，邮编：100085</w:t>
      </w:r>
    </w:p>
    <w:p w:rsidR="00D270DC" w:rsidRPr="00CD4261" w:rsidRDefault="00D270DC" w:rsidP="00CD4261">
      <w:pPr>
        <w:spacing w:line="560" w:lineRule="exact"/>
        <w:rPr>
          <w:rFonts w:ascii="仿宋" w:eastAsia="仿宋" w:hAnsi="仿宋"/>
          <w:sz w:val="28"/>
          <w:szCs w:val="28"/>
        </w:rPr>
      </w:pPr>
    </w:p>
    <w:sectPr w:rsidR="00D270DC" w:rsidRPr="00CD426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0EE"/>
    <w:rsid w:val="001010EE"/>
    <w:rsid w:val="00922E25"/>
    <w:rsid w:val="00CD4261"/>
    <w:rsid w:val="00D27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CD4261"/>
    <w:pPr>
      <w:widowControl/>
      <w:jc w:val="left"/>
      <w:outlineLvl w:val="0"/>
    </w:pPr>
    <w:rPr>
      <w:rFonts w:ascii="宋体" w:eastAsia="宋体" w:hAnsi="宋体" w:cs="宋体"/>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4261"/>
    <w:rPr>
      <w:rFonts w:ascii="宋体" w:eastAsia="宋体" w:hAnsi="宋体" w:cs="宋体"/>
      <w:kern w:val="36"/>
      <w:sz w:val="24"/>
      <w:szCs w:val="24"/>
    </w:rPr>
  </w:style>
  <w:style w:type="character" w:styleId="a3">
    <w:name w:val="Hyperlink"/>
    <w:basedOn w:val="a0"/>
    <w:uiPriority w:val="99"/>
    <w:semiHidden/>
    <w:unhideWhenUsed/>
    <w:rsid w:val="00CD4261"/>
    <w:rPr>
      <w:strike w:val="0"/>
      <w:dstrike w:val="0"/>
      <w:color w:val="333333"/>
      <w:u w:val="none"/>
      <w:effect w:val="none"/>
    </w:rPr>
  </w:style>
  <w:style w:type="paragraph" w:styleId="a4">
    <w:name w:val="Normal (Web)"/>
    <w:basedOn w:val="a"/>
    <w:uiPriority w:val="99"/>
    <w:semiHidden/>
    <w:unhideWhenUsed/>
    <w:rsid w:val="00CD4261"/>
    <w:pPr>
      <w:widowControl/>
      <w:spacing w:before="150" w:after="150" w:line="360" w:lineRule="auto"/>
      <w:jc w:val="left"/>
    </w:pPr>
    <w:rPr>
      <w:rFonts w:ascii="宋体" w:eastAsia="宋体" w:hAnsi="宋体" w:cs="宋体"/>
      <w:kern w:val="0"/>
      <w:sz w:val="24"/>
      <w:szCs w:val="24"/>
    </w:rPr>
  </w:style>
  <w:style w:type="character" w:customStyle="1" w:styleId="normal105">
    <w:name w:val="normal105"/>
    <w:basedOn w:val="a0"/>
    <w:rsid w:val="00CD42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CD4261"/>
    <w:pPr>
      <w:widowControl/>
      <w:jc w:val="left"/>
      <w:outlineLvl w:val="0"/>
    </w:pPr>
    <w:rPr>
      <w:rFonts w:ascii="宋体" w:eastAsia="宋体" w:hAnsi="宋体" w:cs="宋体"/>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4261"/>
    <w:rPr>
      <w:rFonts w:ascii="宋体" w:eastAsia="宋体" w:hAnsi="宋体" w:cs="宋体"/>
      <w:kern w:val="36"/>
      <w:sz w:val="24"/>
      <w:szCs w:val="24"/>
    </w:rPr>
  </w:style>
  <w:style w:type="character" w:styleId="a3">
    <w:name w:val="Hyperlink"/>
    <w:basedOn w:val="a0"/>
    <w:uiPriority w:val="99"/>
    <w:semiHidden/>
    <w:unhideWhenUsed/>
    <w:rsid w:val="00CD4261"/>
    <w:rPr>
      <w:strike w:val="0"/>
      <w:dstrike w:val="0"/>
      <w:color w:val="333333"/>
      <w:u w:val="none"/>
      <w:effect w:val="none"/>
    </w:rPr>
  </w:style>
  <w:style w:type="paragraph" w:styleId="a4">
    <w:name w:val="Normal (Web)"/>
    <w:basedOn w:val="a"/>
    <w:uiPriority w:val="99"/>
    <w:semiHidden/>
    <w:unhideWhenUsed/>
    <w:rsid w:val="00CD4261"/>
    <w:pPr>
      <w:widowControl/>
      <w:spacing w:before="150" w:after="150" w:line="360" w:lineRule="auto"/>
      <w:jc w:val="left"/>
    </w:pPr>
    <w:rPr>
      <w:rFonts w:ascii="宋体" w:eastAsia="宋体" w:hAnsi="宋体" w:cs="宋体"/>
      <w:kern w:val="0"/>
      <w:sz w:val="24"/>
      <w:szCs w:val="24"/>
    </w:rPr>
  </w:style>
  <w:style w:type="character" w:customStyle="1" w:styleId="normal105">
    <w:name w:val="normal105"/>
    <w:basedOn w:val="a0"/>
    <w:rsid w:val="00CD42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617439">
      <w:bodyDiv w:val="1"/>
      <w:marLeft w:val="0"/>
      <w:marRight w:val="0"/>
      <w:marTop w:val="0"/>
      <w:marBottom w:val="0"/>
      <w:divBdr>
        <w:top w:val="none" w:sz="0" w:space="0" w:color="auto"/>
        <w:left w:val="none" w:sz="0" w:space="0" w:color="auto"/>
        <w:bottom w:val="none" w:sz="0" w:space="0" w:color="auto"/>
        <w:right w:val="none" w:sz="0" w:space="0" w:color="auto"/>
      </w:divBdr>
      <w:divsChild>
        <w:div w:id="542137998">
          <w:marLeft w:val="0"/>
          <w:marRight w:val="0"/>
          <w:marTop w:val="0"/>
          <w:marBottom w:val="0"/>
          <w:divBdr>
            <w:top w:val="none" w:sz="0" w:space="0" w:color="auto"/>
            <w:left w:val="none" w:sz="0" w:space="0" w:color="auto"/>
            <w:bottom w:val="none" w:sz="0" w:space="0" w:color="auto"/>
            <w:right w:val="none" w:sz="0" w:space="0" w:color="auto"/>
          </w:divBdr>
          <w:divsChild>
            <w:div w:id="943807015">
              <w:marLeft w:val="0"/>
              <w:marRight w:val="0"/>
              <w:marTop w:val="75"/>
              <w:marBottom w:val="0"/>
              <w:divBdr>
                <w:top w:val="none" w:sz="0" w:space="0" w:color="auto"/>
                <w:left w:val="none" w:sz="0" w:space="0" w:color="auto"/>
                <w:bottom w:val="none" w:sz="0" w:space="0" w:color="auto"/>
                <w:right w:val="none" w:sz="0" w:space="0" w:color="auto"/>
              </w:divBdr>
              <w:divsChild>
                <w:div w:id="877200139">
                  <w:marLeft w:val="0"/>
                  <w:marRight w:val="0"/>
                  <w:marTop w:val="0"/>
                  <w:marBottom w:val="0"/>
                  <w:divBdr>
                    <w:top w:val="none" w:sz="0" w:space="0" w:color="auto"/>
                    <w:left w:val="none" w:sz="0" w:space="0" w:color="auto"/>
                    <w:bottom w:val="none" w:sz="0" w:space="0" w:color="auto"/>
                    <w:right w:val="none" w:sz="0" w:space="0" w:color="auto"/>
                  </w:divBdr>
                  <w:divsChild>
                    <w:div w:id="329137771">
                      <w:marLeft w:val="0"/>
                      <w:marRight w:val="0"/>
                      <w:marTop w:val="0"/>
                      <w:marBottom w:val="0"/>
                      <w:divBdr>
                        <w:top w:val="single" w:sz="6" w:space="31" w:color="BBE0ED"/>
                        <w:left w:val="single" w:sz="6" w:space="0" w:color="BBE0ED"/>
                        <w:bottom w:val="single" w:sz="6" w:space="0" w:color="BBE0ED"/>
                        <w:right w:val="single" w:sz="6" w:space="0" w:color="BBE0ED"/>
                      </w:divBdr>
                      <w:divsChild>
                        <w:div w:id="1925794935">
                          <w:marLeft w:val="0"/>
                          <w:marRight w:val="0"/>
                          <w:marTop w:val="0"/>
                          <w:marBottom w:val="0"/>
                          <w:divBdr>
                            <w:top w:val="none" w:sz="0" w:space="0" w:color="auto"/>
                            <w:left w:val="none" w:sz="0" w:space="0" w:color="auto"/>
                            <w:bottom w:val="none" w:sz="0" w:space="0" w:color="auto"/>
                            <w:right w:val="none" w:sz="0" w:space="0" w:color="auto"/>
                          </w:divBdr>
                          <w:divsChild>
                            <w:div w:id="599995812">
                              <w:marLeft w:val="0"/>
                              <w:marRight w:val="0"/>
                              <w:marTop w:val="0"/>
                              <w:marBottom w:val="0"/>
                              <w:divBdr>
                                <w:top w:val="none" w:sz="0" w:space="0" w:color="auto"/>
                                <w:left w:val="none" w:sz="0" w:space="0" w:color="auto"/>
                                <w:bottom w:val="none" w:sz="0" w:space="0" w:color="auto"/>
                                <w:right w:val="none" w:sz="0" w:space="0" w:color="auto"/>
                              </w:divBdr>
                              <w:divsChild>
                                <w:div w:id="1921675002">
                                  <w:marLeft w:val="0"/>
                                  <w:marRight w:val="0"/>
                                  <w:marTop w:val="0"/>
                                  <w:marBottom w:val="0"/>
                                  <w:divBdr>
                                    <w:top w:val="none" w:sz="0" w:space="0" w:color="auto"/>
                                    <w:left w:val="none" w:sz="0" w:space="0" w:color="auto"/>
                                    <w:bottom w:val="none" w:sz="0" w:space="0" w:color="auto"/>
                                    <w:right w:val="none" w:sz="0" w:space="0" w:color="auto"/>
                                  </w:divBdr>
                                  <w:divsChild>
                                    <w:div w:id="637030882">
                                      <w:marLeft w:val="0"/>
                                      <w:marRight w:val="0"/>
                                      <w:marTop w:val="0"/>
                                      <w:marBottom w:val="0"/>
                                      <w:divBdr>
                                        <w:top w:val="none" w:sz="0" w:space="0" w:color="auto"/>
                                        <w:left w:val="none" w:sz="0" w:space="0" w:color="auto"/>
                                        <w:bottom w:val="none" w:sz="0" w:space="0" w:color="auto"/>
                                        <w:right w:val="none" w:sz="0" w:space="0" w:color="auto"/>
                                      </w:divBdr>
                                    </w:div>
                                    <w:div w:id="1758742452">
                                      <w:marLeft w:val="0"/>
                                      <w:marRight w:val="0"/>
                                      <w:marTop w:val="0"/>
                                      <w:marBottom w:val="0"/>
                                      <w:divBdr>
                                        <w:top w:val="none" w:sz="0" w:space="0" w:color="auto"/>
                                        <w:left w:val="none" w:sz="0" w:space="0" w:color="auto"/>
                                        <w:bottom w:val="none" w:sz="0" w:space="0" w:color="auto"/>
                                        <w:right w:val="none" w:sz="0" w:space="0" w:color="auto"/>
                                      </w:divBdr>
                                    </w:div>
                                    <w:div w:id="166666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376</Words>
  <Characters>2145</Characters>
  <Application>Microsoft Office Word</Application>
  <DocSecurity>0</DocSecurity>
  <Lines>17</Lines>
  <Paragraphs>5</Paragraphs>
  <ScaleCrop>false</ScaleCrop>
  <Company/>
  <LinksUpToDate>false</LinksUpToDate>
  <CharactersWithSpaces>2516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linguiping</dc:creator>
  <cp:keywords/>
  <dc:description/>
  <cp:lastModifiedBy>linguiping</cp:lastModifiedBy>
  <cp:revision>2</cp:revision>
  <dcterms:created xsi:type="dcterms:W3CDTF">2017-03-13T03:52:00Z</dcterms:created>
  <dcterms:modified xsi:type="dcterms:W3CDTF">2017-03-13T04:04:00Z</dcterms:modified>
</cp:coreProperties>
</file>