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EB" w:rsidRDefault="005E3AEB"/>
    <w:p w:rsidR="002B47F6" w:rsidRDefault="002B47F6" w:rsidP="002B47F6">
      <w:pPr>
        <w:widowControl/>
        <w:tabs>
          <w:tab w:val="left" w:pos="180"/>
        </w:tabs>
        <w:spacing w:line="360" w:lineRule="auto"/>
        <w:jc w:val="center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关于研究生论文评阅答辩费发放有关问题</w:t>
      </w:r>
    </w:p>
    <w:p w:rsidR="002B47F6" w:rsidRPr="006314A3" w:rsidRDefault="002B47F6" w:rsidP="002B47F6">
      <w:pPr>
        <w:widowControl/>
        <w:tabs>
          <w:tab w:val="left" w:pos="180"/>
        </w:tabs>
        <w:spacing w:line="360" w:lineRule="auto"/>
        <w:jc w:val="left"/>
        <w:rPr>
          <w:rFonts w:ascii="仿宋_GB2312" w:eastAsia="仿宋_GB2312" w:hAnsi="仿宋" w:cs="宋体"/>
          <w:b/>
          <w:color w:val="000000"/>
          <w:kern w:val="0"/>
          <w:sz w:val="28"/>
          <w:szCs w:val="28"/>
        </w:rPr>
      </w:pPr>
    </w:p>
    <w:p w:rsidR="00FC4231" w:rsidRDefault="002B47F6" w:rsidP="002B47F6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一、评阅费发放</w:t>
      </w:r>
    </w:p>
    <w:p w:rsidR="00FC4231" w:rsidRDefault="005549A5" w:rsidP="002B47F6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 xml:space="preserve">1. </w:t>
      </w:r>
      <w:r w:rsidR="00FC4231" w:rsidRPr="0022711D">
        <w:rPr>
          <w:rFonts w:ascii="仿宋_GB2312" w:eastAsia="仿宋_GB2312" w:hAnsi="仿宋" w:cs="宋体" w:hint="eastAsia"/>
          <w:b/>
          <w:color w:val="000000"/>
          <w:kern w:val="0"/>
          <w:sz w:val="28"/>
          <w:szCs w:val="28"/>
        </w:rPr>
        <w:t>校内评阅人</w:t>
      </w:r>
      <w:r w:rsidR="00FC4231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：无论是否匿名送审，一律从</w:t>
      </w:r>
      <w:r w:rsidR="00FC4231" w:rsidRPr="009931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薪酬系统</w:t>
      </w:r>
      <w:r w:rsidR="00FC4231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发放评阅费</w:t>
      </w:r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，转入工资账户。按工资薪金所得计算个人所得税。</w:t>
      </w:r>
    </w:p>
    <w:p w:rsidR="00153C00" w:rsidRPr="00153C00" w:rsidRDefault="00153C00" w:rsidP="002B47F6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除了提供薪酬系统打印的发放清单外，学院还需提供以下信息：评阅专家所在单位名称、专家姓名、学生姓名、评阅费标准等信息的名单。名单需经学院主管副院长签字并加盖学院公章。</w:t>
      </w:r>
    </w:p>
    <w:p w:rsidR="00FC4231" w:rsidRPr="005549A5" w:rsidRDefault="005549A5" w:rsidP="002B47F6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 xml:space="preserve">2. </w:t>
      </w:r>
      <w:r w:rsidR="00153C00" w:rsidRPr="0022711D">
        <w:rPr>
          <w:rFonts w:ascii="仿宋_GB2312" w:eastAsia="仿宋_GB2312" w:hAnsi="仿宋" w:cs="宋体" w:hint="eastAsia"/>
          <w:b/>
          <w:color w:val="000000"/>
          <w:kern w:val="0"/>
          <w:sz w:val="28"/>
          <w:szCs w:val="28"/>
        </w:rPr>
        <w:t>校外评阅人</w:t>
      </w:r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：允许校外专家评阅费</w:t>
      </w:r>
      <w:r w:rsidR="00153C00" w:rsidRPr="009931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现金</w:t>
      </w:r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发放。可先请款、再报账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。专家评阅费按劳务报酬所得计算个人所得税。</w:t>
      </w:r>
    </w:p>
    <w:p w:rsidR="00153C00" w:rsidRDefault="0022711D" w:rsidP="00153C00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（1）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实名评阅的：</w:t>
      </w:r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校外专家评阅</w:t>
      </w:r>
      <w:proofErr w:type="gramStart"/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费通过</w:t>
      </w:r>
      <w:proofErr w:type="gramEnd"/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现金发放的，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在薪酬系统上校外人员劳务费模板，填写</w:t>
      </w:r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发放清单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，</w:t>
      </w:r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由代领人签字，还</w:t>
      </w:r>
      <w:proofErr w:type="gramStart"/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需随单附上</w:t>
      </w:r>
      <w:proofErr w:type="gramEnd"/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代领人转账或邮寄评阅费的支付凭证。如无法提供相关支付凭证，发放清单还须学院主管副院长签字审批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，证明已发至评阅人</w:t>
      </w:r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。</w:t>
      </w:r>
    </w:p>
    <w:p w:rsidR="00153C00" w:rsidRPr="00153C00" w:rsidRDefault="0022711D" w:rsidP="002B47F6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（2）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匿名评阅的：</w:t>
      </w:r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如按相关规定不予公开评阅专家个人信息，经学院主管副院长审批同意，可凭印领表作为签领依据，表格要求填写学生姓名、匿名专家人数、评阅费标准、应发金额、个人所得税、实领金额、代领人签字。</w:t>
      </w:r>
      <w:proofErr w:type="gramStart"/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印领表上</w:t>
      </w:r>
      <w:proofErr w:type="gramEnd"/>
      <w:r w:rsidR="00153C0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 xml:space="preserve">须注明“按规定匿名评阅专家个人信息不予公开”。   </w:t>
      </w:r>
    </w:p>
    <w:p w:rsidR="00382741" w:rsidRDefault="005549A5" w:rsidP="005549A5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二、答辩费发放</w:t>
      </w:r>
    </w:p>
    <w:p w:rsidR="005549A5" w:rsidRDefault="005549A5" w:rsidP="005549A5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可先请款</w:t>
      </w:r>
      <w:r w:rsidR="00382741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（不含校内人员酬金）。</w:t>
      </w:r>
    </w:p>
    <w:p w:rsidR="005549A5" w:rsidRDefault="00382741" w:rsidP="005549A5">
      <w:pPr>
        <w:widowControl/>
        <w:spacing w:line="360" w:lineRule="auto"/>
        <w:ind w:firstLineChars="150" w:firstLine="42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lastRenderedPageBreak/>
        <w:t>1. 校内校外人员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答辩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酬金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需通过学校薪酬系统发放。校内人员按工资薪金所得计算个人所得税；校外专家答辩费按劳务报酬所得计算个人所得税。</w:t>
      </w:r>
    </w:p>
    <w:p w:rsidR="00382741" w:rsidRDefault="00382741" w:rsidP="005549A5">
      <w:pPr>
        <w:widowControl/>
        <w:spacing w:line="360" w:lineRule="auto"/>
        <w:ind w:firstLineChars="150" w:firstLine="42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 xml:space="preserve">2. </w:t>
      </w:r>
      <w:r w:rsidR="005549A5" w:rsidRPr="0022711D">
        <w:rPr>
          <w:rFonts w:ascii="仿宋_GB2312" w:eastAsia="仿宋_GB2312" w:hAnsi="仿宋" w:cs="宋体" w:hint="eastAsia"/>
          <w:b/>
          <w:color w:val="000000"/>
          <w:kern w:val="0"/>
          <w:sz w:val="28"/>
          <w:szCs w:val="28"/>
        </w:rPr>
        <w:t>校内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人员答辩费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：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一律</w:t>
      </w:r>
      <w:r w:rsidR="0022711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通过</w:t>
      </w:r>
      <w:r w:rsidR="0022711D" w:rsidRPr="009931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薪酬系统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转入个人工资账户；</w:t>
      </w:r>
    </w:p>
    <w:p w:rsidR="005549A5" w:rsidRPr="00AF5EA5" w:rsidRDefault="00382741" w:rsidP="0022711D">
      <w:pPr>
        <w:widowControl/>
        <w:spacing w:line="360" w:lineRule="auto"/>
        <w:ind w:firstLineChars="300" w:firstLine="843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 w:rsidRPr="0022711D">
        <w:rPr>
          <w:rFonts w:ascii="仿宋_GB2312" w:eastAsia="仿宋_GB2312" w:hAnsi="仿宋" w:cs="宋体" w:hint="eastAsia"/>
          <w:b/>
          <w:color w:val="000000"/>
          <w:kern w:val="0"/>
          <w:sz w:val="28"/>
          <w:szCs w:val="28"/>
        </w:rPr>
        <w:t>校外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人员答辩费：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考虑到难以获取校外专家身份证号码、银行账号信息的客观情况，允许校外专家答辩费</w:t>
      </w:r>
      <w:r w:rsidR="005549A5" w:rsidRPr="009931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现金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发放，印领单须专家亲笔签名，</w:t>
      </w:r>
      <w:r w:rsidR="005549A5" w:rsidRPr="0022711D">
        <w:rPr>
          <w:rFonts w:ascii="仿宋_GB2312" w:eastAsia="仿宋_GB2312" w:hAnsi="仿宋" w:cs="宋体" w:hint="eastAsia"/>
          <w:b/>
          <w:color w:val="000000"/>
          <w:kern w:val="0"/>
          <w:sz w:val="28"/>
          <w:szCs w:val="28"/>
        </w:rPr>
        <w:t>不予代签名</w:t>
      </w:r>
      <w:r w:rsidR="005549A5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。</w:t>
      </w:r>
    </w:p>
    <w:p w:rsidR="00382741" w:rsidRDefault="00382741" w:rsidP="00382741">
      <w:pPr>
        <w:widowControl/>
        <w:spacing w:line="360" w:lineRule="auto"/>
        <w:ind w:firstLineChars="150" w:firstLine="42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3. 为便于审核发放标准，除了提供薪酬系统打印的发放清单外，还需按参加答辩的学生制表，要求列出答辩专家姓名、茶水负责人员、工作人员、研究生业务管理人员、答辩秘书。</w:t>
      </w:r>
    </w:p>
    <w:p w:rsidR="00382741" w:rsidRDefault="00382741" w:rsidP="00382741">
      <w:pPr>
        <w:widowControl/>
        <w:spacing w:line="360" w:lineRule="auto"/>
        <w:ind w:firstLineChars="150" w:firstLine="42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4. 答辩发生的餐费、交通费须随同答辩费一次性凭票报销，事后不再单独报销答辩餐费和交通费。</w:t>
      </w:r>
    </w:p>
    <w:p w:rsidR="006F3690" w:rsidRPr="006F3690" w:rsidRDefault="006F3690" w:rsidP="006F3690">
      <w:pPr>
        <w:widowControl/>
        <w:spacing w:line="360" w:lineRule="auto"/>
        <w:ind w:firstLineChars="150" w:firstLine="42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 xml:space="preserve">5. </w:t>
      </w:r>
      <w:r w:rsidRPr="006F369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校外答辩委员的市内交</w:t>
      </w:r>
      <w:bookmarkStart w:id="0" w:name="_GoBack"/>
      <w:bookmarkEnd w:id="0"/>
      <w:r w:rsidRPr="006F369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通费按100元/次的标准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，必须</w:t>
      </w:r>
      <w:r w:rsidRPr="006F3690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凭票报销。</w:t>
      </w:r>
    </w:p>
    <w:p w:rsidR="005549A5" w:rsidRDefault="005549A5" w:rsidP="005549A5">
      <w:pPr>
        <w:widowControl/>
        <w:spacing w:line="360" w:lineRule="auto"/>
        <w:ind w:firstLineChars="150" w:firstLine="42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三、开支项目规定</w:t>
      </w:r>
    </w:p>
    <w:p w:rsidR="005549A5" w:rsidRDefault="005549A5" w:rsidP="005549A5">
      <w:pPr>
        <w:widowControl/>
        <w:spacing w:line="360" w:lineRule="auto"/>
        <w:ind w:firstLineChars="150" w:firstLine="42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1.研究生学历生的论文评阅和答辩费用，在学校预算核拨的研究生业务费开支的，严格按标准支出。超出标准部分可在学院自筹经费或横向科研经费的劳务额度开支。</w:t>
      </w:r>
    </w:p>
    <w:p w:rsidR="005549A5" w:rsidRPr="002B47F6" w:rsidRDefault="005549A5" w:rsidP="005549A5">
      <w:pPr>
        <w:widowControl/>
        <w:spacing w:line="360" w:lineRule="auto"/>
        <w:ind w:firstLineChars="150" w:firstLine="420"/>
        <w:jc w:val="left"/>
      </w:pP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2.同等学力人员申请学位的答辩费可在学院酬金项目开支，标准可适当提高。</w:t>
      </w:r>
    </w:p>
    <w:p w:rsidR="005549A5" w:rsidRPr="003D2F85" w:rsidRDefault="005549A5" w:rsidP="002B47F6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</w:p>
    <w:sectPr w:rsidR="005549A5" w:rsidRPr="003D2F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621" w:rsidRDefault="00C64621" w:rsidP="00AB415F">
      <w:r>
        <w:separator/>
      </w:r>
    </w:p>
  </w:endnote>
  <w:endnote w:type="continuationSeparator" w:id="0">
    <w:p w:rsidR="00C64621" w:rsidRDefault="00C64621" w:rsidP="00AB4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621" w:rsidRDefault="00C64621" w:rsidP="00AB415F">
      <w:r>
        <w:separator/>
      </w:r>
    </w:p>
  </w:footnote>
  <w:footnote w:type="continuationSeparator" w:id="0">
    <w:p w:rsidR="00C64621" w:rsidRDefault="00C64621" w:rsidP="00AB41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7F6"/>
    <w:rsid w:val="000E261D"/>
    <w:rsid w:val="00133095"/>
    <w:rsid w:val="00153C00"/>
    <w:rsid w:val="0020611E"/>
    <w:rsid w:val="0022711D"/>
    <w:rsid w:val="002B47F6"/>
    <w:rsid w:val="003043EA"/>
    <w:rsid w:val="00382741"/>
    <w:rsid w:val="003D2F85"/>
    <w:rsid w:val="005549A5"/>
    <w:rsid w:val="005E3AEB"/>
    <w:rsid w:val="006F3690"/>
    <w:rsid w:val="00876DFC"/>
    <w:rsid w:val="009931BD"/>
    <w:rsid w:val="009B016D"/>
    <w:rsid w:val="00AB415F"/>
    <w:rsid w:val="00BB45E5"/>
    <w:rsid w:val="00C20A97"/>
    <w:rsid w:val="00C64621"/>
    <w:rsid w:val="00FC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7F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unhideWhenUsed/>
    <w:rsid w:val="002B47F6"/>
    <w:rPr>
      <w:sz w:val="21"/>
      <w:szCs w:val="21"/>
    </w:rPr>
  </w:style>
  <w:style w:type="paragraph" w:styleId="a4">
    <w:name w:val="annotation text"/>
    <w:basedOn w:val="a"/>
    <w:link w:val="Char"/>
    <w:uiPriority w:val="99"/>
    <w:unhideWhenUsed/>
    <w:rsid w:val="002B47F6"/>
    <w:pPr>
      <w:jc w:val="left"/>
    </w:pPr>
  </w:style>
  <w:style w:type="character" w:customStyle="1" w:styleId="Char">
    <w:name w:val="批注文字 Char"/>
    <w:basedOn w:val="a0"/>
    <w:link w:val="a4"/>
    <w:uiPriority w:val="99"/>
    <w:rsid w:val="002B47F6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5">
    <w:name w:val="Balloon Text"/>
    <w:basedOn w:val="a"/>
    <w:link w:val="Char0"/>
    <w:rsid w:val="002B47F6"/>
    <w:rPr>
      <w:sz w:val="18"/>
      <w:szCs w:val="18"/>
    </w:rPr>
  </w:style>
  <w:style w:type="character" w:customStyle="1" w:styleId="Char0">
    <w:name w:val="批注框文本 Char"/>
    <w:basedOn w:val="a0"/>
    <w:link w:val="a5"/>
    <w:rsid w:val="002B47F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1"/>
    <w:rsid w:val="00AB4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AB415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2"/>
    <w:rsid w:val="00AB4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AB415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7F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unhideWhenUsed/>
    <w:rsid w:val="002B47F6"/>
    <w:rPr>
      <w:sz w:val="21"/>
      <w:szCs w:val="21"/>
    </w:rPr>
  </w:style>
  <w:style w:type="paragraph" w:styleId="a4">
    <w:name w:val="annotation text"/>
    <w:basedOn w:val="a"/>
    <w:link w:val="Char"/>
    <w:uiPriority w:val="99"/>
    <w:unhideWhenUsed/>
    <w:rsid w:val="002B47F6"/>
    <w:pPr>
      <w:jc w:val="left"/>
    </w:pPr>
  </w:style>
  <w:style w:type="character" w:customStyle="1" w:styleId="Char">
    <w:name w:val="批注文字 Char"/>
    <w:basedOn w:val="a0"/>
    <w:link w:val="a4"/>
    <w:uiPriority w:val="99"/>
    <w:rsid w:val="002B47F6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5">
    <w:name w:val="Balloon Text"/>
    <w:basedOn w:val="a"/>
    <w:link w:val="Char0"/>
    <w:rsid w:val="002B47F6"/>
    <w:rPr>
      <w:sz w:val="18"/>
      <w:szCs w:val="18"/>
    </w:rPr>
  </w:style>
  <w:style w:type="character" w:customStyle="1" w:styleId="Char0">
    <w:name w:val="批注框文本 Char"/>
    <w:basedOn w:val="a0"/>
    <w:link w:val="a5"/>
    <w:rsid w:val="002B47F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1"/>
    <w:rsid w:val="00AB4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AB415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2"/>
    <w:rsid w:val="00AB4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AB415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user301</dc:creator>
  <cp:lastModifiedBy>user301</cp:lastModifiedBy>
  <cp:revision>7</cp:revision>
  <dcterms:created xsi:type="dcterms:W3CDTF">2015-03-19T07:47:00Z</dcterms:created>
  <dcterms:modified xsi:type="dcterms:W3CDTF">2015-03-25T01:32:00Z</dcterms:modified>
</cp:coreProperties>
</file>